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49" w:rsidRDefault="00331649" w:rsidP="00331649">
      <w:pPr>
        <w:pStyle w:val="NormalnyWeb"/>
        <w:rPr>
          <w:color w:val="000000"/>
          <w:sz w:val="27"/>
          <w:szCs w:val="27"/>
        </w:rPr>
      </w:pPr>
      <w:r>
        <w:rPr>
          <w:b/>
          <w:noProof/>
        </w:rPr>
        <w:drawing>
          <wp:inline distT="0" distB="0" distL="0" distR="0">
            <wp:extent cx="727075" cy="7270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" t="-87" r="-85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7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437" w:rsidRDefault="00B96437" w:rsidP="00B96437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WYMAGANIA EDUKACYJNE Z </w:t>
      </w:r>
      <w:r w:rsidRPr="00B96437">
        <w:rPr>
          <w:b/>
          <w:color w:val="000000"/>
          <w:sz w:val="27"/>
          <w:szCs w:val="27"/>
        </w:rPr>
        <w:t>FILOZOFII</w:t>
      </w:r>
      <w:r>
        <w:rPr>
          <w:color w:val="000000"/>
          <w:sz w:val="27"/>
          <w:szCs w:val="27"/>
        </w:rPr>
        <w:t xml:space="preserve"> NIEZBĘDNE DO UZYSKANIA PRZEZ UCZNIA POSZCZEGÓLNYCH ŚRÓDROCZNYCH I ROCZNYCH OCEN KLASYFIKACYJNYCH WYNIKAJĄCYCH Z REALIZOWANEGO PROGRAMU NAUCZANIA  </w:t>
      </w:r>
      <w:r w:rsidRPr="00B96437">
        <w:rPr>
          <w:caps/>
          <w:color w:val="000000"/>
          <w:sz w:val="27"/>
          <w:szCs w:val="27"/>
        </w:rPr>
        <w:t>M. Łojek-Kurzętkowska / Filozofia. Zakres podstawowy. Program nauczania dla szkół ponadpodstawowych (liceum i technikum) /  Operon</w:t>
      </w:r>
      <w:r w:rsidR="00634438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(LICEUM 4-LETNIE)</w:t>
      </w:r>
    </w:p>
    <w:p w:rsidR="00176B34" w:rsidRPr="00B96437" w:rsidRDefault="00B96437" w:rsidP="0064181B">
      <w:pPr>
        <w:pStyle w:val="NormalnyWeb"/>
        <w:jc w:val="center"/>
        <w:rPr>
          <w:b/>
          <w:color w:val="000000"/>
          <w:sz w:val="27"/>
          <w:szCs w:val="27"/>
        </w:rPr>
      </w:pPr>
      <w:r w:rsidRPr="00B96437">
        <w:rPr>
          <w:b/>
          <w:color w:val="000000"/>
          <w:sz w:val="27"/>
          <w:szCs w:val="27"/>
        </w:rPr>
        <w:t>ZAKRES PODSTAWOWY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1"/>
        <w:gridCol w:w="2357"/>
        <w:gridCol w:w="2357"/>
        <w:gridCol w:w="2358"/>
        <w:gridCol w:w="4429"/>
      </w:tblGrid>
      <w:tr w:rsidR="00176B34" w:rsidTr="00176B34">
        <w:tc>
          <w:tcPr>
            <w:tcW w:w="13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B34" w:rsidRDefault="00176B34" w:rsidP="006567EE">
            <w:pPr>
              <w:spacing w:after="0"/>
              <w:jc w:val="center"/>
            </w:pPr>
            <w:r>
              <w:rPr>
                <w:rFonts w:cs="Arial"/>
                <w:color w:val="000000"/>
                <w:sz w:val="28"/>
                <w:szCs w:val="16"/>
              </w:rPr>
              <w:t xml:space="preserve">Szczegółowe wymagania edukacyjne </w:t>
            </w:r>
            <w:r w:rsidR="002843EA">
              <w:rPr>
                <w:rFonts w:cs="Arial"/>
                <w:color w:val="000000"/>
                <w:sz w:val="28"/>
                <w:szCs w:val="16"/>
              </w:rPr>
              <w:t xml:space="preserve">dla klas  </w:t>
            </w:r>
            <w:bookmarkStart w:id="0" w:name="_GoBack"/>
            <w:r w:rsidR="002843EA" w:rsidRPr="00E2341E">
              <w:rPr>
                <w:rFonts w:cs="Arial"/>
                <w:b/>
                <w:color w:val="000000"/>
                <w:sz w:val="28"/>
                <w:szCs w:val="16"/>
              </w:rPr>
              <w:t>1A,</w:t>
            </w:r>
            <w:r w:rsidR="0060695C" w:rsidRPr="00E2341E">
              <w:rPr>
                <w:rFonts w:cs="Arial"/>
                <w:b/>
                <w:color w:val="000000"/>
                <w:sz w:val="28"/>
                <w:szCs w:val="16"/>
              </w:rPr>
              <w:t xml:space="preserve"> 1B</w:t>
            </w:r>
            <w:r w:rsidR="002843EA" w:rsidRPr="00E2341E">
              <w:rPr>
                <w:rFonts w:cs="Arial"/>
                <w:b/>
                <w:color w:val="000000"/>
                <w:sz w:val="28"/>
                <w:szCs w:val="16"/>
              </w:rPr>
              <w:t xml:space="preserve"> , 1B1, 1B2, 1B3, 1</w:t>
            </w:r>
            <w:r w:rsidRPr="00E2341E">
              <w:rPr>
                <w:rFonts w:cs="Arial"/>
                <w:b/>
                <w:color w:val="000000"/>
                <w:sz w:val="28"/>
                <w:szCs w:val="16"/>
              </w:rPr>
              <w:t>C, 1D, 1E, 1F, 1G, 1H, 1I</w:t>
            </w:r>
            <w:bookmarkEnd w:id="0"/>
          </w:p>
        </w:tc>
      </w:tr>
      <w:tr w:rsidR="00176B34" w:rsidTr="00176B34">
        <w:tc>
          <w:tcPr>
            <w:tcW w:w="13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B34" w:rsidRDefault="00176B34" w:rsidP="006567EE">
            <w:pPr>
              <w:tabs>
                <w:tab w:val="center" w:pos="7002"/>
                <w:tab w:val="left" w:pos="8520"/>
              </w:tabs>
              <w:spacing w:after="0" w:line="100" w:lineRule="atLeast"/>
            </w:pPr>
            <w:r w:rsidRPr="00BB1545">
              <w:rPr>
                <w:b/>
                <w:color w:val="000000"/>
                <w:sz w:val="28"/>
              </w:rPr>
              <w:t>Ocenę niedostateczną</w:t>
            </w:r>
            <w:r>
              <w:rPr>
                <w:color w:val="000000"/>
                <w:sz w:val="28"/>
              </w:rPr>
              <w:t xml:space="preserve"> otrzymuje uczeń, który nie spełnia wymagań edukacyjnych niezbędnych do uzyskania oceny dopuszczającej.</w:t>
            </w:r>
            <w:r>
              <w:rPr>
                <w:color w:val="000000"/>
              </w:rPr>
              <w:t xml:space="preserve"> 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91" w:type="dxa"/>
          </w:tcPr>
          <w:p w:rsidR="00E452AB" w:rsidRPr="00CC67FF" w:rsidRDefault="00E452AB" w:rsidP="00B96437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C67FF">
              <w:rPr>
                <w:color w:val="000000"/>
                <w:sz w:val="20"/>
                <w:szCs w:val="20"/>
              </w:rPr>
              <w:t>Wymagania edukacyjne</w:t>
            </w:r>
          </w:p>
          <w:p w:rsidR="00E452AB" w:rsidRPr="00CC67FF" w:rsidRDefault="00E452AB" w:rsidP="00B96437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C67FF">
              <w:rPr>
                <w:color w:val="000000"/>
                <w:sz w:val="20"/>
                <w:szCs w:val="20"/>
              </w:rPr>
              <w:t>niezbędne do uzyskania</w:t>
            </w:r>
          </w:p>
          <w:p w:rsidR="00E452AB" w:rsidRPr="00CC67FF" w:rsidRDefault="00E452AB" w:rsidP="00B96437">
            <w:pPr>
              <w:pStyle w:val="NormalnyWeb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CC67FF">
              <w:rPr>
                <w:b/>
                <w:color w:val="000000"/>
                <w:sz w:val="20"/>
                <w:szCs w:val="20"/>
              </w:rPr>
              <w:t>oceny dopuszczającej</w:t>
            </w:r>
          </w:p>
          <w:p w:rsidR="00E452AB" w:rsidRPr="00CC67FF" w:rsidRDefault="00E452AB" w:rsidP="00CC67FF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357" w:type="dxa"/>
          </w:tcPr>
          <w:p w:rsidR="00E452AB" w:rsidRPr="00CC67FF" w:rsidRDefault="00E452AB" w:rsidP="00B96437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C67FF">
              <w:rPr>
                <w:color w:val="000000"/>
                <w:sz w:val="20"/>
                <w:szCs w:val="20"/>
              </w:rPr>
              <w:t>Wymagania edukacyjne</w:t>
            </w:r>
          </w:p>
          <w:p w:rsidR="00E452AB" w:rsidRPr="00CC67FF" w:rsidRDefault="00E452AB" w:rsidP="00CC67FF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C67FF">
              <w:rPr>
                <w:color w:val="000000"/>
                <w:sz w:val="20"/>
                <w:szCs w:val="20"/>
              </w:rPr>
              <w:t xml:space="preserve">niezbędne do uzyskania </w:t>
            </w:r>
            <w:r w:rsidRPr="00CC67FF">
              <w:rPr>
                <w:b/>
                <w:color w:val="000000"/>
                <w:sz w:val="20"/>
                <w:szCs w:val="20"/>
              </w:rPr>
              <w:t>oceny  dostatecznej</w:t>
            </w:r>
            <w:r w:rsidRPr="00CC67F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E452AB" w:rsidRPr="00CC67FF" w:rsidRDefault="00E452AB" w:rsidP="00CC67FF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C67FF">
              <w:rPr>
                <w:color w:val="000000"/>
                <w:sz w:val="20"/>
                <w:szCs w:val="20"/>
              </w:rPr>
              <w:t xml:space="preserve">Wymagania edukacyjne niezbędne do uzyskania </w:t>
            </w:r>
            <w:r w:rsidRPr="00CC67FF">
              <w:rPr>
                <w:b/>
                <w:color w:val="000000"/>
                <w:sz w:val="20"/>
                <w:szCs w:val="20"/>
              </w:rPr>
              <w:t>oceny  dobrej</w:t>
            </w:r>
          </w:p>
        </w:tc>
        <w:tc>
          <w:tcPr>
            <w:tcW w:w="2358" w:type="dxa"/>
          </w:tcPr>
          <w:p w:rsidR="00E452AB" w:rsidRPr="00CC67FF" w:rsidRDefault="00E452AB" w:rsidP="00CC67FF">
            <w:pPr>
              <w:spacing w:after="0" w:line="240" w:lineRule="auto"/>
              <w:contextualSpacing/>
              <w:rPr>
                <w:color w:val="000000"/>
                <w:sz w:val="20"/>
              </w:rPr>
            </w:pPr>
            <w:r w:rsidRPr="00CC67FF">
              <w:rPr>
                <w:color w:val="000000"/>
                <w:sz w:val="20"/>
              </w:rPr>
              <w:t xml:space="preserve">Wymagania edukacyjne niezbędne do uzyskania </w:t>
            </w:r>
          </w:p>
          <w:p w:rsidR="00E452AB" w:rsidRPr="00CC67FF" w:rsidRDefault="00E452AB" w:rsidP="00CC67FF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CC67FF">
              <w:rPr>
                <w:b/>
                <w:color w:val="000000"/>
                <w:sz w:val="20"/>
              </w:rPr>
              <w:t>oceny bardzo  dobrej</w:t>
            </w:r>
            <w:r w:rsidRPr="00CC67FF">
              <w:rPr>
                <w:b/>
                <w:sz w:val="20"/>
              </w:rPr>
              <w:t xml:space="preserve"> </w:t>
            </w:r>
          </w:p>
        </w:tc>
        <w:tc>
          <w:tcPr>
            <w:tcW w:w="4429" w:type="dxa"/>
          </w:tcPr>
          <w:p w:rsidR="00E452AB" w:rsidRPr="00CC67FF" w:rsidRDefault="00E452AB" w:rsidP="00CC67FF">
            <w:pPr>
              <w:spacing w:after="0" w:line="240" w:lineRule="auto"/>
              <w:contextualSpacing/>
              <w:rPr>
                <w:color w:val="000000"/>
                <w:sz w:val="20"/>
              </w:rPr>
            </w:pPr>
            <w:r w:rsidRPr="00CC67FF">
              <w:rPr>
                <w:color w:val="000000"/>
                <w:sz w:val="20"/>
              </w:rPr>
              <w:t xml:space="preserve">Wymagania edukacyjne niezbędne do uzyskania </w:t>
            </w:r>
          </w:p>
          <w:p w:rsidR="00E452AB" w:rsidRPr="00CC67FF" w:rsidRDefault="00E452AB" w:rsidP="00CC67FF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CC67FF">
              <w:rPr>
                <w:b/>
                <w:color w:val="000000"/>
                <w:sz w:val="20"/>
              </w:rPr>
              <w:t>oceny celującej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2" w:type="dxa"/>
            <w:gridSpan w:val="5"/>
          </w:tcPr>
          <w:p w:rsidR="00E452AB" w:rsidRPr="00CC67FF" w:rsidRDefault="00E452AB" w:rsidP="0033164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b/>
                <w:szCs w:val="24"/>
              </w:rPr>
              <w:t xml:space="preserve">I </w:t>
            </w:r>
            <w:r w:rsidRPr="00F840CC">
              <w:rPr>
                <w:b/>
                <w:szCs w:val="24"/>
              </w:rPr>
              <w:t>Pojęcie filozofii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4"/>
        </w:trPr>
        <w:tc>
          <w:tcPr>
            <w:tcW w:w="2391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wymienia najważniejsze elementy namysłu filozoficznego,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opisuje historyczne i kulturowe źródła refleksji filozoficznej, 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omawia poszczególne okresy filozofii starożytnej,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przytacza definicję filozofii jako „umiłowania mądrości”.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rozważa różne sposoby pojmowania filozofii na przestrzeni dziejów i odnosi je do klasycznej definicji tej dziedziny,</w:t>
            </w:r>
          </w:p>
          <w:p w:rsidR="00E452AB" w:rsidRPr="00F840CC" w:rsidRDefault="00E452AB" w:rsidP="00CC67FF">
            <w:pPr>
              <w:spacing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przedstawia związki między historycznymi i kulturowymi źródłami filozofii (kontekstem) a poszczególnymi własnościami myślenia filozoficznego (istotą filozofii),</w:t>
            </w:r>
          </w:p>
          <w:p w:rsidR="00E452AB" w:rsidRPr="00F840CC" w:rsidRDefault="00E452AB" w:rsidP="00CC67FF">
            <w:pPr>
              <w:spacing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definiuje podstawowe pojęcia związane z namysłem filozoficznym.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korzysta z różnych źródeł wiedzy, poszukując odpowiedzi na temat źródeł refleksji filozoficznej,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porównuje ze sobą różne ujęcia filozofii obecne w dziejach starożytności i wskazuje na występujące w nich podobieństwa i różnice,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zestawia ze sobą poszczególne okresy filozofii, poszukując podobieństw i różnic pomiędzy nimi</w:t>
            </w:r>
            <w:r w:rsidRPr="00F840CC">
              <w:rPr>
                <w:sz w:val="20"/>
              </w:rPr>
              <w:t>.</w:t>
            </w:r>
          </w:p>
        </w:tc>
        <w:tc>
          <w:tcPr>
            <w:tcW w:w="2358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zajmuje stanowisko w kwestii definicji filozofii – opowiada się za określonym ujęciem i logicznie uzasadnia swój sąd,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wskazuje zastosowania wiedzy filozoficznej w codziennym życiu,</w:t>
            </w:r>
          </w:p>
          <w:p w:rsidR="00E452AB" w:rsidRPr="00F840CC" w:rsidRDefault="00E452AB" w:rsidP="00CC67FF">
            <w:pPr>
              <w:spacing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aktywnie i samodzielnie angażuje się w rozważania na temat źródeł i specyfiki refleksji filozoficznej.</w:t>
            </w:r>
          </w:p>
        </w:tc>
        <w:tc>
          <w:tcPr>
            <w:tcW w:w="4429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wskazuje zastosowania wiedzy filozoficznej w refleksji naukowej i kulturowej,</w:t>
            </w:r>
          </w:p>
          <w:p w:rsidR="00E452AB" w:rsidRPr="00F840CC" w:rsidRDefault="00E452AB" w:rsidP="00CC67FF">
            <w:pPr>
              <w:spacing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podejmuje polemikę z przyjętymi rozstrzygnięciami dotyczącymi rozumienia filozofii,</w:t>
            </w:r>
          </w:p>
          <w:p w:rsidR="00E452AB" w:rsidRPr="00F840CC" w:rsidRDefault="00E452AB" w:rsidP="00CC67FF">
            <w:pPr>
              <w:spacing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broniąc swoich racji, stosuje argumentację i aparat pojęciowy filozofii.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0"/>
        </w:trPr>
        <w:tc>
          <w:tcPr>
            <w:tcW w:w="2391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opisuje podział nauk opracowany przez Arystotelesa,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przedstawia współczesny podział dyscyplin filozoficznych,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rozpoznaje i podaje przykłady zagadnień z zakresu poszczególnych dziedzin filozofii.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podaje przykłady zagadnień poruszanych w ramach nauk wyszczególnionych przez Arystotelesa,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rozważa problemy charakterystyczne dla poszczególnych dziedzin namysłu filozoficznego.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korzysta z różnych źródeł wiedzy, rozważając problemy dotyczące poszczególnych dziedzin filozofii,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dyskutuje na temat zagadnień i problemów wskazanych podczas rozważań dotyczących poszczególnych dziedzin filozofii.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58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zajmuje stanowisko na temat naukowego ujęcia filozofii przez Arystotelesa,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wskazuje zastosowania rozważań charakteryzujących poszczególne dziedziny filozofii w codziennym życiu,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aktywnie angażuje się w dyskusję na temat zagadnień filozoficznych, – argumentuje na rzecz przedstawianych przez siebie poglądów.</w:t>
            </w:r>
          </w:p>
        </w:tc>
        <w:tc>
          <w:tcPr>
            <w:tcW w:w="4429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wskazuje zastosowania rozważań szczegółowych w filozofii w odniesieniu do problemów naukowych, społecznych, politycznych, kulturowych,</w:t>
            </w:r>
          </w:p>
          <w:p w:rsidR="00E452AB" w:rsidRPr="00F840CC" w:rsidRDefault="00E452AB" w:rsidP="00CC67FF">
            <w:pPr>
              <w:spacing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podejmuje polemikę na temat zagadnień z zakresu poszczególnych dziedzin filozofii,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broniąc swoich racji, stosuje argumentację, zakres tematyczny i aparat pojęciowy danej dyscypliny filozofii.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4"/>
        </w:trPr>
        <w:tc>
          <w:tcPr>
            <w:tcW w:w="2391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charakteryzuje pytania filozoficzne pod względem ich najważniejszych własności,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formułuje przykłady pytań filozoficznych z zakresu poszczególnych dziedzin namysłu,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formułuje własne odpowiedzi na opracowane lub zidentyfikowane pytania filozoficzne (w formie wypowiedzi ustnej i pisemnej),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rozważa praktyczne zastosowania wiedzy filozoficznej (m.in. w formie projektu edukacyjnego).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rozpoznaje pytania filozoficzne i odróżnia je od innego rodzaju pytań, na podstawie ich cech charakterystycznych,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podejmuje dyskusję na temat wybranych problemów z zakresu filozofii oraz rozważania w formie wypowiedzi pisemnej,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konstruuje własne pytania filozoficzne wykraczające poza najprostszy schemat dziedzinowy,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angażuje się w poszukiwanie praktycznych zastosowań refleksji filozoficznej (m.in. w formie projektu edukacyjnego).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rozstrzyga problemy filozoficzne na podstawie zróżnicowanych źródeł wiedzy,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zajmuje stanowisko w kwestii wybranych problemów z zakresu filozofii oraz broni swoich racji podczas dyskusji oraz w formie wypowiedzi pisemnej,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dostrzega zastosowania praktyczne refleksji filozoficznej (m.in. w formie projektu edukacyjnego).</w:t>
            </w:r>
          </w:p>
        </w:tc>
        <w:tc>
          <w:tcPr>
            <w:tcW w:w="2358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analizuje zagadnienia na podstawie źródeł filozoficznych i rozważań naukowych,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zajmuje stanowisko oraz logicznie uzasadnia swoje racje podczas dyskusji oraz w formie wypowiedzi pisemnej,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czynnie angażuje się w rozstrzyganie pytań filozoficznych w odniesieniu do codziennych zastosowań wiedzy (m.in. w formie projektu edukacyjnego).</w:t>
            </w:r>
          </w:p>
        </w:tc>
        <w:tc>
          <w:tcPr>
            <w:tcW w:w="4429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podejmuje rozważania filozoficzne, opierając się na wiedzy naukowej i ogólnej,</w:t>
            </w:r>
          </w:p>
          <w:p w:rsidR="00E452AB" w:rsidRPr="00F840CC" w:rsidRDefault="00E452AB" w:rsidP="00CC67FF">
            <w:pPr>
              <w:spacing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broniąc swoich racji w dyskusji oraz w formie wypowiedzi pisemnej, stosuje argumentację, zakres tematyczny i aparat pojęciowy filozofii,</w:t>
            </w:r>
          </w:p>
          <w:p w:rsidR="00E452AB" w:rsidRPr="00F840CC" w:rsidRDefault="00E452AB" w:rsidP="00CC67FF">
            <w:pPr>
              <w:spacing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stosuje wiedzę filozoficzną i naukową, rozstrzygając problemy filozoficzne i odnosząc je do praktycznych zastosowań (m.in. w formie projektu edukacyjnego).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13892" w:type="dxa"/>
            <w:gridSpan w:val="5"/>
          </w:tcPr>
          <w:p w:rsidR="00E452AB" w:rsidRPr="00CC67FF" w:rsidRDefault="00E452AB" w:rsidP="0033164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b/>
                <w:szCs w:val="24"/>
              </w:rPr>
              <w:t>II Pierwsze pytania filozoficzne</w:t>
            </w:r>
          </w:p>
          <w:p w:rsidR="00E452AB" w:rsidRPr="00CC67FF" w:rsidRDefault="00E452AB" w:rsidP="0033164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</w:rPr>
            </w:pP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4"/>
        </w:trPr>
        <w:tc>
          <w:tcPr>
            <w:tcW w:w="2391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wymienia elementy namysłu, które są niezbędne, aby daną dziedzinę wiedzy uznać za rozważania naukowe,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rozważa kwestię naukowości rozważań pierwszych filozofów.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rozważa znaczenie poszczególnych elementów namysłu jako niezbędnych do uznania danej dyscypliny za refleksję naukową,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analizuje i opisuje przebieg procesu konstruowania teorii naukowych.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rozważa przebieg procesu konstruowania teorii naukowych na podstawie konkretnych przykładów z historii nauki oraz na podstawie dzieł filmowych,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porównuje działalność naukową pierwszych filozofów z działalnością współczesnych naukowców.</w:t>
            </w:r>
          </w:p>
        </w:tc>
        <w:tc>
          <w:tcPr>
            <w:tcW w:w="2358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bierze czynny udział w konstruowaniu i rozstrzyganiu wybranego problemu, stosując się do podanych wytycznych charakteryzujących proces konstruowania prostych modeli teoretycznych.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4429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bierze czynny udział w konstruowaniu i rozstrzyganiu wybranego problemu filozoficznego,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udoskonala lub modyfikuje zasady (instrukcje) związane z tworzeniem prostych modeli teoretycznych.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3892" w:type="dxa"/>
            <w:gridSpan w:val="5"/>
          </w:tcPr>
          <w:p w:rsidR="00E452AB" w:rsidRPr="00331649" w:rsidRDefault="00E452AB" w:rsidP="00331649">
            <w:pPr>
              <w:spacing w:after="0" w:line="240" w:lineRule="auto"/>
              <w:jc w:val="center"/>
              <w:rPr>
                <w:b/>
                <w:szCs w:val="24"/>
                <w:lang w:eastAsia="pl-PL"/>
              </w:rPr>
            </w:pPr>
            <w:r w:rsidRPr="00331649">
              <w:rPr>
                <w:b/>
                <w:szCs w:val="24"/>
                <w:lang w:eastAsia="pl-PL"/>
              </w:rPr>
              <w:t>III Pierwsze spory filozoficzne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2391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 xml:space="preserve">opisuje paradoks </w:t>
            </w:r>
            <w:r w:rsidRPr="00F840CC">
              <w:rPr>
                <w:i/>
                <w:sz w:val="20"/>
              </w:rPr>
              <w:t>Statku Tezeusza</w:t>
            </w:r>
            <w:r w:rsidRPr="00F840CC">
              <w:rPr>
                <w:sz w:val="20"/>
              </w:rPr>
              <w:t xml:space="preserve"> i odnosi go do problemu zmienności świata,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 xml:space="preserve">– opisuje i wyjaśnia stanowisko filozoficzne Heraklita z Efezu (wariabilizm) oraz stanowisko </w:t>
            </w:r>
            <w:proofErr w:type="spellStart"/>
            <w:r w:rsidRPr="00F840CC">
              <w:rPr>
                <w:sz w:val="20"/>
                <w:lang w:eastAsia="pl-PL"/>
              </w:rPr>
              <w:t>Parmenidesa</w:t>
            </w:r>
            <w:proofErr w:type="spellEnd"/>
            <w:r w:rsidRPr="00F840CC">
              <w:rPr>
                <w:sz w:val="20"/>
                <w:lang w:eastAsia="pl-PL"/>
              </w:rPr>
              <w:t xml:space="preserve"> z </w:t>
            </w:r>
            <w:proofErr w:type="spellStart"/>
            <w:r w:rsidRPr="00F840CC">
              <w:rPr>
                <w:sz w:val="20"/>
                <w:lang w:eastAsia="pl-PL"/>
              </w:rPr>
              <w:t>Elei</w:t>
            </w:r>
            <w:proofErr w:type="spellEnd"/>
            <w:r w:rsidRPr="00F840CC">
              <w:rPr>
                <w:sz w:val="20"/>
                <w:lang w:eastAsia="pl-PL"/>
              </w:rPr>
              <w:t xml:space="preserve"> (</w:t>
            </w:r>
            <w:proofErr w:type="spellStart"/>
            <w:r w:rsidRPr="00F840CC">
              <w:rPr>
                <w:sz w:val="20"/>
                <w:lang w:eastAsia="pl-PL"/>
              </w:rPr>
              <w:t>statyzm</w:t>
            </w:r>
            <w:proofErr w:type="spellEnd"/>
            <w:r w:rsidRPr="00F840CC">
              <w:rPr>
                <w:sz w:val="20"/>
                <w:lang w:eastAsia="pl-PL"/>
              </w:rPr>
              <w:t>).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i/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rekonstruuje argumentację za zmiennością oraz za stałością świata na podstawie paradoksu </w:t>
            </w:r>
            <w:r w:rsidRPr="00F840CC">
              <w:rPr>
                <w:i/>
                <w:sz w:val="20"/>
                <w:lang w:eastAsia="pl-PL"/>
              </w:rPr>
              <w:t>Statku Tezeusza</w:t>
            </w:r>
            <w:r w:rsidRPr="00F840CC">
              <w:rPr>
                <w:sz w:val="20"/>
                <w:lang w:eastAsia="pl-PL"/>
              </w:rPr>
              <w:t>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 xml:space="preserve">– porównuje wariabilizm Heraklita z Efezu ze </w:t>
            </w:r>
            <w:proofErr w:type="spellStart"/>
            <w:r w:rsidRPr="00F840CC">
              <w:rPr>
                <w:sz w:val="20"/>
                <w:lang w:eastAsia="pl-PL"/>
              </w:rPr>
              <w:t>statyzmem</w:t>
            </w:r>
            <w:proofErr w:type="spellEnd"/>
            <w:r w:rsidRPr="00F840CC">
              <w:rPr>
                <w:sz w:val="20"/>
                <w:lang w:eastAsia="pl-PL"/>
              </w:rPr>
              <w:t xml:space="preserve"> </w:t>
            </w:r>
            <w:proofErr w:type="spellStart"/>
            <w:r w:rsidRPr="00F840CC">
              <w:rPr>
                <w:sz w:val="20"/>
                <w:lang w:eastAsia="pl-PL"/>
              </w:rPr>
              <w:t>Parmenidesa</w:t>
            </w:r>
            <w:proofErr w:type="spellEnd"/>
            <w:r w:rsidRPr="00F840CC">
              <w:rPr>
                <w:sz w:val="20"/>
                <w:lang w:eastAsia="pl-PL"/>
              </w:rPr>
              <w:t xml:space="preserve"> z </w:t>
            </w:r>
            <w:proofErr w:type="spellStart"/>
            <w:r w:rsidRPr="00F840CC">
              <w:rPr>
                <w:sz w:val="20"/>
                <w:lang w:eastAsia="pl-PL"/>
              </w:rPr>
              <w:t>Elei</w:t>
            </w:r>
            <w:proofErr w:type="spellEnd"/>
            <w:r w:rsidRPr="00F840CC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zajmuje własne stanowisko w sporze o dynamizm rzeczywistości i argumentuje na jego rzecz,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krytycznie analizuje poglądy Heraklita z Efezu i </w:t>
            </w:r>
            <w:proofErr w:type="spellStart"/>
            <w:r w:rsidRPr="00F840CC">
              <w:rPr>
                <w:sz w:val="20"/>
                <w:lang w:eastAsia="pl-PL"/>
              </w:rPr>
              <w:t>Parmenidesa</w:t>
            </w:r>
            <w:proofErr w:type="spellEnd"/>
            <w:r w:rsidRPr="00F840CC">
              <w:rPr>
                <w:sz w:val="20"/>
                <w:lang w:eastAsia="pl-PL"/>
              </w:rPr>
              <w:t xml:space="preserve"> z </w:t>
            </w:r>
            <w:proofErr w:type="spellStart"/>
            <w:r w:rsidRPr="00F840CC">
              <w:rPr>
                <w:sz w:val="20"/>
                <w:lang w:eastAsia="pl-PL"/>
              </w:rPr>
              <w:t>Elei</w:t>
            </w:r>
            <w:proofErr w:type="spellEnd"/>
            <w:r w:rsidRPr="00F840CC">
              <w:rPr>
                <w:sz w:val="20"/>
                <w:lang w:eastAsia="pl-PL"/>
              </w:rPr>
              <w:t>, wskazując mocne oraz słabe strony rozumowań obu filozofów.</w:t>
            </w:r>
          </w:p>
        </w:tc>
        <w:tc>
          <w:tcPr>
            <w:tcW w:w="2358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przedstawia logiczną argumentację w sporze o dynamizm rzeczywistości i posługuje się filozoficznymi pojęciami w rozstrzyganiu tego sporu,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stosuje wiedzę dotyczącą dynamizmu do współczesnych zagadnień i problemów.</w:t>
            </w:r>
          </w:p>
        </w:tc>
        <w:tc>
          <w:tcPr>
            <w:tcW w:w="4429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proponuje własne rozstrzygnięcie paradoksu na podstawie nowych argumentów lub konstruuje własny paradoks ilustrujący problem zmienności świata,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odnosi wiedzę z zakresu omawianych zagadnień do problemów współczesnej nauki.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69"/>
        </w:trPr>
        <w:tc>
          <w:tcPr>
            <w:tcW w:w="2391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opisuje poszczególne rodzaje rozumowań: dowodzenie, wnioskowanie, wyjaśnianie,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przedstawia i wyjaśnia paradoksy ruchu i wielości autorstwa eleatów,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omawia poszczególne stanowiska filozoficzne dotyczące wielości rzeczy (monizm, pluralizm).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rozpoznaje i podaje przykłady poszczególnych typów uzasadnień,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odnosi poszczególne typy uzasadnień do rozważań starożytnych myślicieli, 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porównuje stanowiska monistyczne i pluralistyczne na gruncie filozofii </w:t>
            </w:r>
            <w:proofErr w:type="spellStart"/>
            <w:r w:rsidRPr="00F840CC">
              <w:rPr>
                <w:sz w:val="20"/>
                <w:lang w:eastAsia="pl-PL"/>
              </w:rPr>
              <w:t>presokratejskiej</w:t>
            </w:r>
            <w:proofErr w:type="spellEnd"/>
            <w:r w:rsidRPr="00F840CC">
              <w:rPr>
                <w:sz w:val="20"/>
                <w:lang w:eastAsia="pl-PL"/>
              </w:rPr>
              <w:t>.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podaje sposoby rozstrzygania paradoksów ruchu i wielości autorstwa eleatów,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opowiada się za określonym stanowiskiem w kwestii ilości istniejących bytów (monizm, pluralizm) oraz uzasadnia swoją opinię.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58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konstruuje własne przykłady ilustrujące poszczególne typy uzasadnień, 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rozstrzyga paradoksy ruchu i wielości autorstwa eleatów na postawie własnych rozumowań,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argumentuje na rzecz określonego stanowiska w kwestii ilości istniejących bytów (monizm, pluralizm).</w:t>
            </w:r>
          </w:p>
        </w:tc>
        <w:tc>
          <w:tcPr>
            <w:tcW w:w="4429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konstruuje własne przykłady paradoksów ruchu i wielości, 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 xml:space="preserve">– argumentuje na rzecz określonego stanowiska w kwestii ilości istniejących bytów (monizm, pluralizm) na podstawie rozważań logicznych oraz naukowych. 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3892" w:type="dxa"/>
            <w:gridSpan w:val="5"/>
          </w:tcPr>
          <w:p w:rsidR="00E452AB" w:rsidRPr="00331649" w:rsidRDefault="00E452AB" w:rsidP="00331649">
            <w:pPr>
              <w:spacing w:after="0" w:line="240" w:lineRule="auto"/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 xml:space="preserve">IV </w:t>
            </w:r>
            <w:r w:rsidRPr="00F840CC">
              <w:rPr>
                <w:b/>
                <w:szCs w:val="24"/>
              </w:rPr>
              <w:t>Z czego składa się świat i ludzki umysł?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391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wyjaśnia na czym polegał starożytny spór dotyczący podzielności przedmiotów,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omawia atomistyczną koncepcję </w:t>
            </w:r>
            <w:proofErr w:type="spellStart"/>
            <w:r w:rsidRPr="00F840CC">
              <w:rPr>
                <w:sz w:val="20"/>
                <w:lang w:eastAsia="pl-PL"/>
              </w:rPr>
              <w:t>Leucypa</w:t>
            </w:r>
            <w:proofErr w:type="spellEnd"/>
            <w:r w:rsidRPr="00F840CC">
              <w:rPr>
                <w:sz w:val="20"/>
                <w:lang w:eastAsia="pl-PL"/>
              </w:rPr>
              <w:t xml:space="preserve"> i Demokryta, 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wymienia wybrane nowożytne i współczesne koncepcje naukowe z zakresu atomizmu.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porównuje pluralizm ilościowy i jakościowy,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rozważa wpływ nauczania Demokryta z </w:t>
            </w:r>
            <w:proofErr w:type="spellStart"/>
            <w:r w:rsidRPr="00F840CC">
              <w:rPr>
                <w:sz w:val="20"/>
                <w:lang w:eastAsia="pl-PL"/>
              </w:rPr>
              <w:t>Abdery</w:t>
            </w:r>
            <w:proofErr w:type="spellEnd"/>
            <w:r w:rsidRPr="00F840CC">
              <w:rPr>
                <w:sz w:val="20"/>
                <w:lang w:eastAsia="pl-PL"/>
              </w:rPr>
              <w:t xml:space="preserve"> na nowożytne i współczesne koncepcje naukowe.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opowiada się za pluralizmem ilościowym lub pluralizmem jakościowym i argumentuje na rzecz własnego stanowiska,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podaje przykłady wykorzystania atomizmu we współczesnej nauce.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58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dokonuje polemiki z koncepcją atomizmu Demokryta z </w:t>
            </w:r>
            <w:proofErr w:type="spellStart"/>
            <w:r w:rsidRPr="00F840CC">
              <w:rPr>
                <w:sz w:val="20"/>
                <w:lang w:eastAsia="pl-PL"/>
              </w:rPr>
              <w:t>Abdery</w:t>
            </w:r>
            <w:proofErr w:type="spellEnd"/>
            <w:r w:rsidRPr="00F840CC">
              <w:rPr>
                <w:sz w:val="20"/>
                <w:lang w:eastAsia="pl-PL"/>
              </w:rPr>
              <w:t xml:space="preserve"> lub współczesnych rozstrzygnięć w tym zakresie,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podaje przykłady koncepcji naukowych stojących w opozycji do atomizmu.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4429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zajmuje stanowisko w kwestii podzielności przedmiotów i uzasadnia je z zastosowaniem terminologii filozoficznej, narzędzi logicznych oraz przykładów naukowych. 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4"/>
        </w:trPr>
        <w:tc>
          <w:tcPr>
            <w:tcW w:w="2391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przedstawia stanowisko materialistyczne i dualistyczne na temat ludzkiego umysłu,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podaje przykłady eksperymentów myślowych dotyczących problematyki ludzkiego umysłu.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porównuje stanowiska dualizmu i materializmu,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rozważa współczesne eksperymenty myślowe dotyczące rozumienia ludzkiego umysłu i odnosi je do problematyki umysłu ludzkiego.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podejmuje dyskusję na temat rozumienia ludzkiego umysłu,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opowiada się za jednym ze stanowisk na temat ludzkiego umysłu,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odnosi współczesne eksperymenty myślowe do rzeczywistych problemów dotyczących ludzkiego umysłu.</w:t>
            </w:r>
          </w:p>
        </w:tc>
        <w:tc>
          <w:tcPr>
            <w:tcW w:w="2358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odnosi dyskusję na temat rozumienia ludzkiego umysłu do współczesnych problemów dotyczących człowieka i poznania,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opowiadając się za jednym ze stanowisk na temat ludzkiego umysłu, stosuje argumentację z dziedziny filozofii i nauki.</w:t>
            </w:r>
          </w:p>
        </w:tc>
        <w:tc>
          <w:tcPr>
            <w:tcW w:w="4429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 xml:space="preserve">odnosi dyskusję na temat umysłu do zagadnień naukowych, np. do kwestii </w:t>
            </w:r>
            <w:proofErr w:type="spellStart"/>
            <w:r w:rsidRPr="00F840CC">
              <w:rPr>
                <w:sz w:val="20"/>
              </w:rPr>
              <w:t>neuronauk</w:t>
            </w:r>
            <w:proofErr w:type="spellEnd"/>
            <w:r w:rsidRPr="00F840CC">
              <w:rPr>
                <w:sz w:val="20"/>
              </w:rPr>
              <w:t xml:space="preserve"> i </w:t>
            </w:r>
            <w:proofErr w:type="spellStart"/>
            <w:r w:rsidRPr="00F840CC">
              <w:rPr>
                <w:sz w:val="20"/>
              </w:rPr>
              <w:t>kognitywistyki</w:t>
            </w:r>
            <w:proofErr w:type="spellEnd"/>
            <w:r w:rsidRPr="00F840CC">
              <w:rPr>
                <w:sz w:val="20"/>
              </w:rPr>
              <w:t>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polemizuje z poszczególnymi koncepcjami dotyczącymi ludzkiego umysłu,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konstruuje własne eksperymenty myślowe odnoszące się do problemów naukowych i filozoficznych.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3892" w:type="dxa"/>
            <w:gridSpan w:val="5"/>
          </w:tcPr>
          <w:p w:rsidR="00E452AB" w:rsidRPr="00331649" w:rsidRDefault="00E452AB" w:rsidP="00331649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 </w:t>
            </w:r>
            <w:r w:rsidRPr="00F840CC">
              <w:rPr>
                <w:b/>
                <w:szCs w:val="24"/>
              </w:rPr>
              <w:t>Filozofia Sokratesa. Początki refleksji antropologicznej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4"/>
        </w:trPr>
        <w:tc>
          <w:tcPr>
            <w:tcW w:w="2391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wyjaśnia, czym jest intelektualizm etyczny Sokratesa,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opisuje i definiuje stanowiska obiektywizmu i subiektywizmu etycznego oraz absolutyzmu i relatywizmu etycznego.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wyjaśnia, na czym polega zależność między wiedzą i cnotą,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porównuje stanowiska obiektywizmu i subiektywizmu oraz stanowiska relatywizmu i absolutyzmu.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podejmuje dyskusję w formule sokratejskiej,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odpowiada na pytanie, dlaczego ludzie postępują źle, i uzasadnia swój pogląd.</w:t>
            </w:r>
          </w:p>
        </w:tc>
        <w:tc>
          <w:tcPr>
            <w:tcW w:w="2358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podejmuje dyskusję w formule sokratejskiej i aktywnie w niej uczestniczy.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formułuje własne stanowisko na temat intelektualizmu etycznego oraz logicznie uzasadnia swój pogląd,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świadomie posługuje się terminologią filozoficzną w dyskusji i odnosi wnioski z niej płynące do problemów codzienności.</w:t>
            </w:r>
          </w:p>
        </w:tc>
        <w:tc>
          <w:tcPr>
            <w:tcW w:w="4429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inicjuje dyskusję w formule sokratejskiej i proponuje tematykę do rozmowy,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naukowo i logicznie uzasadnia swoje poglądy etyczne i filozoficzne,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posługuje się terminologią filozoficzną w dyskusji i odnosi wnioski z niej płynące do problemów naukowych.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4"/>
        </w:trPr>
        <w:tc>
          <w:tcPr>
            <w:tcW w:w="2391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wyjaśnia, na czym polegała misja Sokratesa wobec Aten,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opisuje sokratejskie i współczesne rozumienie indywidualizmu, 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opisuje i wyjaśnia metodę dialektyczną Sokratesa.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wyjaśnia kontekst historyczny i filozoficzny misji Sokratesa wobec Ateńczyków,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rozważa i porównuje sokratejskie oraz współczesne rozumienie indywidualizmu, 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stosuje metodę dialektyczną Sokratesa – opracowuje dialogi filozoficzne.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odnosi filozoficzne i współczesne rozumienie indywidualizmu do rozważań własnych i do problemów codziennej egzystencji, 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stosuje metodę dialektyczną Sokratesa –odgrywa opracowane przez siebie dialogi filozoficzne.</w:t>
            </w:r>
          </w:p>
        </w:tc>
        <w:tc>
          <w:tcPr>
            <w:tcW w:w="2358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opracowuje argumentację na rzecz indywidualizmu w jego różnych odmianach, 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podaje przykłady indywidualistów z różnych obszarów aktywności ludzkiej i odnosi je do nauczania Sokratesa.</w:t>
            </w:r>
          </w:p>
        </w:tc>
        <w:tc>
          <w:tcPr>
            <w:tcW w:w="4429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krytycznie odnosi się do koncepcji indywidualizmu Sokratesa i analizuje jej poszczególne aspekty, 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zajmuje stanowisko w kwestii indywidualizmu w odniesieniu do jego społecznego i politycznego kontekstu.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2391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 xml:space="preserve">definiuje pojęcia: </w:t>
            </w:r>
            <w:r w:rsidRPr="00F840CC">
              <w:rPr>
                <w:i/>
                <w:sz w:val="20"/>
              </w:rPr>
              <w:t>cnota</w:t>
            </w:r>
            <w:r w:rsidRPr="00F840CC">
              <w:rPr>
                <w:sz w:val="20"/>
              </w:rPr>
              <w:t xml:space="preserve">, </w:t>
            </w:r>
            <w:r w:rsidRPr="00F840CC">
              <w:rPr>
                <w:i/>
                <w:sz w:val="20"/>
              </w:rPr>
              <w:t>mądrość</w:t>
            </w:r>
            <w:r w:rsidRPr="00F840CC">
              <w:rPr>
                <w:sz w:val="20"/>
              </w:rPr>
              <w:t xml:space="preserve"> i </w:t>
            </w:r>
            <w:r w:rsidRPr="00F840CC">
              <w:rPr>
                <w:i/>
                <w:sz w:val="20"/>
              </w:rPr>
              <w:t>sumienie</w:t>
            </w:r>
            <w:r w:rsidRPr="00F840CC">
              <w:rPr>
                <w:sz w:val="20"/>
              </w:rPr>
              <w:t xml:space="preserve"> w ujęciu Sokratesa,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opisuje kontekst i szczegóły związane z procesem Sokratesa,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przedstawia najważniejsze aspekty nauczania przedstawione w dialogu „Obrona Sokratesa”.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rozważa nauczanie Sokratesa w odniesieniu do zarzutów przedstawionych podczas procesu, 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tworzy listę argumentów za i przeciw winie Sokratesa na potrzeby odegrania procesu filozofa.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rozważa, dlaczego nie należy krzywdzić innych ludzi i dlaczego warto żyć zgodnie z własnym sumieniem, 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rozważa w formie sporu (procesu) winę Sokratesa, aktywnie uczestnicząc w inscenizacji (np. uzasadniając winę w odniesieniu do wątków biograficznych lub historycznych).</w:t>
            </w:r>
          </w:p>
        </w:tc>
        <w:tc>
          <w:tcPr>
            <w:tcW w:w="2358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przedstawia i uzasadnia własne stanowisko na temat tego, dlaczego nie należy krzywdzić innych ludzi i dlaczego warto żyć zgodnie z własnym sumieniem, 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aktywnie uczestniczy w odgrywaniu ról obrońców i oskarżycieli Sokratesa, przedstawiając argumentację i reagując na uzasadnienia innych uczestników inscenizacji.</w:t>
            </w:r>
          </w:p>
        </w:tc>
        <w:tc>
          <w:tcPr>
            <w:tcW w:w="4429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podczas inscenizacji procesu Sokratesa stosuje argumentację odnoszącą się do filozoficznych pojęć i stanowiska intelektualizmu etycznego, a nie jedynie do wątków biograficznych,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odnosi przykład Sokratesa do innych postaci historycznych i literackich oraz uogólnia wnioski płynące z rozważań.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13892" w:type="dxa"/>
            <w:gridSpan w:val="5"/>
          </w:tcPr>
          <w:p w:rsidR="00E452AB" w:rsidRPr="00331649" w:rsidRDefault="00E452AB" w:rsidP="00331649">
            <w:pPr>
              <w:spacing w:after="0" w:line="240" w:lineRule="auto"/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 xml:space="preserve">VI </w:t>
            </w:r>
            <w:r w:rsidRPr="00F840CC">
              <w:rPr>
                <w:b/>
                <w:szCs w:val="24"/>
              </w:rPr>
              <w:t>Idealizm Platona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4"/>
        </w:trPr>
        <w:tc>
          <w:tcPr>
            <w:tcW w:w="2391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wyjaśnia teorię idei Platona,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wyjaśnia i interpretuje znaczenie alegorii jaskini w systemie Platona, 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opisuje poszczególne stanowiska w sporze o status ontyczny liczb.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interpretuje znaczenie alegorii jaskini i poszczególnych symboli w odniesieniu do koncepcji idealizmu i dualizmu Platona, 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odnosi poszczególne stanowiska w sporze o status ontyczny liczb do koncepcji naukowych.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interpretuje znaczenie alegorii jaskini i poszczególnych symboli w odniesieniu do współczesnych problemów i zagadnień spoza problematyki filozoficznej, 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rozważa problem statusu ontycznego liczb i opisuje własne stanowisko w tej kwestii.</w:t>
            </w:r>
          </w:p>
        </w:tc>
        <w:tc>
          <w:tcPr>
            <w:tcW w:w="2358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tworzy własną alegorię świata na wzór Platońskiej jaskini, 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zajmuje stanowisko w sporze dotyczącym statusu ontycznego liczb i uzasadnia swój pogląd.</w:t>
            </w:r>
          </w:p>
        </w:tc>
        <w:tc>
          <w:tcPr>
            <w:tcW w:w="4429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polemizuje ze stanowiskiem idealizmu oraz krytycznie odnosi je do wcześniejszych koncepcji filozoficznych, 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w sporze dotyczącym statusu ontycznego liczb uzasadnia swój pogląd w na podstawie logicznej oraz naukowej argumentacji oraz skutecznie odpiera zarzuty innych uczestników dyskusji.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2391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 xml:space="preserve">definiuje pojęcia </w:t>
            </w:r>
            <w:proofErr w:type="spellStart"/>
            <w:r w:rsidRPr="00F840CC">
              <w:rPr>
                <w:i/>
                <w:sz w:val="20"/>
              </w:rPr>
              <w:t>doksa</w:t>
            </w:r>
            <w:proofErr w:type="spellEnd"/>
            <w:r w:rsidRPr="00F840CC">
              <w:rPr>
                <w:sz w:val="20"/>
              </w:rPr>
              <w:t xml:space="preserve"> i </w:t>
            </w:r>
            <w:proofErr w:type="spellStart"/>
            <w:r w:rsidRPr="00F840CC">
              <w:rPr>
                <w:i/>
                <w:sz w:val="20"/>
              </w:rPr>
              <w:t>epiesteme</w:t>
            </w:r>
            <w:proofErr w:type="spellEnd"/>
            <w:r w:rsidRPr="00F840CC">
              <w:rPr>
                <w:sz w:val="20"/>
              </w:rPr>
              <w:t>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wyjaśnia proces anamnezy w ludzkim poznaniu.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</w:rPr>
              <w:t>– wyjaśnia różnicę między rzetelną, naukową wiedzą i ludzkim mniemaniem,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rozważa znaczenie prawdy w ludzkim życiu, 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odnosi pojęcia z zakresu epistemologii do rozważań ontologicznych Platona.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</w:rPr>
              <w:t>– porównuje ze sobą idealizm i naturalizm oraz przedstawia stosowną argumentację za tymi stanowiskami,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podaje przykłady sytuacji, w których dążenie do prawdy okazuje się bardzo istotnym celem ludzkiego życia.</w:t>
            </w:r>
          </w:p>
        </w:tc>
        <w:tc>
          <w:tcPr>
            <w:tcW w:w="2358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</w:rPr>
              <w:t>– opowiada się po jednej ze stron sporu epistemologicznego (idealizm – naturalizm) i uzasadnia swój pogląd,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uzasadnia konieczność dążenia do prawdy w ludzkim życiu i konstruuje własne przykłady ilustrujące tę potrzebę.</w:t>
            </w:r>
          </w:p>
        </w:tc>
        <w:tc>
          <w:tcPr>
            <w:tcW w:w="4429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</w:rPr>
              <w:t>– w sporze epistemologicznym (idealizm – naturalizm) uzasadnia swój pogląd, stosując argumentację naukową i logiczną oraz posługując się terminologią filozoficzną,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w sporze dotyczącym poszukiwania prawdy uzasadnia tę potrzebę w odniesieniu do faktów naukowych (np. psychologicznych, socjologicznych) oraz argumentów logicznych.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4"/>
        </w:trPr>
        <w:tc>
          <w:tcPr>
            <w:tcW w:w="2391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przedstawia argumentację Platona na rzecz nieśmiertelności ludzkiej duszy</w:t>
            </w:r>
            <w:r w:rsidRPr="00F840CC">
              <w:rPr>
                <w:sz w:val="20"/>
                <w:lang w:eastAsia="pl-PL"/>
              </w:rPr>
              <w:t xml:space="preserve">, 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przedstawia wizję powstania świata według Platona,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przedstawia koncepcję stworzenia świata według biblijnego wzorca.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ocenia argumentację Platona na rzecz nieśmiertelności ludzkiej duszy</w:t>
            </w:r>
            <w:r w:rsidRPr="00F840CC">
              <w:rPr>
                <w:sz w:val="20"/>
                <w:lang w:eastAsia="pl-PL"/>
              </w:rPr>
              <w:t xml:space="preserve">, 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porównuje koncepcję stworzenia świata według antycznego oraz biblijnego wzorca.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rozważa problem rozumienia oraz nieśmiertelności ludzkiej duszy</w:t>
            </w:r>
            <w:r w:rsidRPr="00F840CC">
              <w:rPr>
                <w:sz w:val="20"/>
                <w:lang w:eastAsia="pl-PL"/>
              </w:rPr>
              <w:t xml:space="preserve">, 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ocenia i analizuje koncepcję stworzenia świata według antycznego oraz biblijnego wzorca.</w:t>
            </w:r>
          </w:p>
        </w:tc>
        <w:tc>
          <w:tcPr>
            <w:tcW w:w="2358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określa własne stanowisko w kwestii nieśmiertelności ludzkiej duszy</w:t>
            </w:r>
            <w:r w:rsidRPr="00F840CC">
              <w:rPr>
                <w:sz w:val="20"/>
                <w:lang w:eastAsia="pl-PL"/>
              </w:rPr>
              <w:t xml:space="preserve"> oraz uzasadnia swój pogląd,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odnosi koncepcję stworzenia świata według antycznego oraz biblijnego wzorca do modeli stworzenia obecnych w innych kulturach.</w:t>
            </w:r>
          </w:p>
        </w:tc>
        <w:tc>
          <w:tcPr>
            <w:tcW w:w="4429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odnosi kwestię nieśmiertelności ludzkiej duszy</w:t>
            </w:r>
            <w:r w:rsidRPr="00F840CC">
              <w:rPr>
                <w:sz w:val="20"/>
                <w:lang w:eastAsia="pl-PL"/>
              </w:rPr>
              <w:t xml:space="preserve"> do teorii naukowych i psychologicznych,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posługuje się terminologią i metodologią charakterystyczną dla namysłu filozoficznego.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13892" w:type="dxa"/>
            <w:gridSpan w:val="5"/>
          </w:tcPr>
          <w:p w:rsidR="00E452AB" w:rsidRPr="00331649" w:rsidRDefault="00E452AB" w:rsidP="00331649">
            <w:pPr>
              <w:spacing w:after="0" w:line="240" w:lineRule="auto"/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 xml:space="preserve">VII </w:t>
            </w:r>
            <w:r w:rsidRPr="00F840CC">
              <w:rPr>
                <w:b/>
                <w:szCs w:val="24"/>
              </w:rPr>
              <w:t>Rola i znaczenie filozofii Platona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391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wymienia czynniki, które należy brać pod uwagę, oceniając innych ludzi pod kątem etycznym,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przedstawia i wyjaśnia opowieść o pasterzu </w:t>
            </w:r>
            <w:proofErr w:type="spellStart"/>
            <w:r w:rsidRPr="00F840CC">
              <w:rPr>
                <w:sz w:val="20"/>
                <w:lang w:eastAsia="pl-PL"/>
              </w:rPr>
              <w:t>Gygesie</w:t>
            </w:r>
            <w:proofErr w:type="spellEnd"/>
            <w:r w:rsidRPr="00F840CC">
              <w:rPr>
                <w:sz w:val="20"/>
                <w:lang w:eastAsia="pl-PL"/>
              </w:rPr>
              <w:t xml:space="preserve"> obecną w dialogu Platona, 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definiuje pojęcie sprawiedliwości w systemie filozoficznym Platona.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rozważa dylematy etyczne pod kątem poszczególnych aspektów oceny etycznej,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interpretuje opowieść o pasterzu </w:t>
            </w:r>
            <w:proofErr w:type="spellStart"/>
            <w:r w:rsidRPr="00F840CC">
              <w:rPr>
                <w:sz w:val="20"/>
                <w:lang w:eastAsia="pl-PL"/>
              </w:rPr>
              <w:t>Gygesie</w:t>
            </w:r>
            <w:proofErr w:type="spellEnd"/>
            <w:r w:rsidRPr="00F840CC">
              <w:rPr>
                <w:sz w:val="20"/>
                <w:lang w:eastAsia="pl-PL"/>
              </w:rPr>
              <w:t xml:space="preserve"> z dialogu Platona w odniesieniu do nauczania etycznego filozofa,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 xml:space="preserve">– porównuje pojęcie sprawiedliwości w ujęciu Platona i jego brata – </w:t>
            </w:r>
            <w:proofErr w:type="spellStart"/>
            <w:r w:rsidRPr="00F840CC">
              <w:rPr>
                <w:sz w:val="20"/>
                <w:lang w:eastAsia="pl-PL"/>
              </w:rPr>
              <w:t>Glaukona</w:t>
            </w:r>
            <w:proofErr w:type="spellEnd"/>
            <w:r w:rsidRPr="00F840CC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rozważa, które czynniki oceny etycznej są najistotniejsze,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odnosi wnioski płynące z historii </w:t>
            </w:r>
            <w:proofErr w:type="spellStart"/>
            <w:r w:rsidRPr="00F840CC">
              <w:rPr>
                <w:sz w:val="20"/>
                <w:lang w:eastAsia="pl-PL"/>
              </w:rPr>
              <w:t>Gygesa</w:t>
            </w:r>
            <w:proofErr w:type="spellEnd"/>
            <w:r w:rsidRPr="00F840CC">
              <w:rPr>
                <w:sz w:val="20"/>
                <w:lang w:eastAsia="pl-PL"/>
              </w:rPr>
              <w:t xml:space="preserve"> do szerszego kontekstu nauczania Platona, 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odnosi pojęcie sprawiedliwości do refleksji społecznej i historycznej.</w:t>
            </w:r>
          </w:p>
        </w:tc>
        <w:tc>
          <w:tcPr>
            <w:tcW w:w="2358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przedstawia własne rozumienie pojęcia sprawiedliwości i odnosi je do sformułowania Platona,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tworzy własną argumentację dotyczącą koncepcji sprawiedliwości,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konstruuje własne przykłady dylematów etycznych dotyczących codziennego życia.</w:t>
            </w:r>
          </w:p>
        </w:tc>
        <w:tc>
          <w:tcPr>
            <w:tcW w:w="4429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odnosi własne rozumienie pojęcia sprawiedliwości do refleksji społecznej i historycznej,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</w:rPr>
              <w:t>– krytycznie analizuje koncepcję Platona – argumentuje za lub przeciw poszczególnym jej aspektom</w:t>
            </w:r>
            <w:r w:rsidRPr="00F840CC">
              <w:rPr>
                <w:sz w:val="20"/>
                <w:lang w:eastAsia="pl-PL"/>
              </w:rPr>
              <w:t>.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4"/>
        </w:trPr>
        <w:tc>
          <w:tcPr>
            <w:tcW w:w="2391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opisuje utopijną wizję państwa Platona, 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przedstawia koncepcję ludzkiej duszy w ujęciu Platona.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wyjaśnia analogię między ludzką duszą i sprawiedliwym państwem,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rozważa różne sposoby pojmowania funkcji państwa.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odnosi koncepcję duszy do wiedzy na temat metafizyki i epistemologii Platona,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dokonuje oceny koncepcji państwa w ujęciu Platona i argumentuje za własnym stanowiskiem w tej kwestii.</w:t>
            </w:r>
          </w:p>
        </w:tc>
        <w:tc>
          <w:tcPr>
            <w:tcW w:w="2358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konstruuje własną wizję sprawiedliwego ustroju państwa i uzasadnia swój pogląd w tej kwestii,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podaje przykłady literackie oraz historyczne utopii społecznych i porównuje je z koncepcją Platona.</w:t>
            </w:r>
          </w:p>
        </w:tc>
        <w:tc>
          <w:tcPr>
            <w:tcW w:w="4429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podejmuje polemikę z koncepcją Platona z zastosowaniem terminologii filozoficznej,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uzasadnia logicznie własną wizję sprawiedliwego państwa i broni własnych racji podczas dyskusji na ten temat.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4"/>
        </w:trPr>
        <w:tc>
          <w:tcPr>
            <w:tcW w:w="2391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wyjaśnia i porównuje pojęcia miłości platonicznej i platońskiej,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rekonstruuje i streszcza wypowiedzi poszczególnych uczestników „Uczty” Platona.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odnosi pojęcie miłości platońskiej do współczesnych czasów,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porównuje stanowiska poszczególnych uczestników „Uczty” Platona,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 xml:space="preserve">– interpretuje mowę </w:t>
            </w:r>
            <w:proofErr w:type="spellStart"/>
            <w:r w:rsidRPr="00F840CC">
              <w:rPr>
                <w:sz w:val="20"/>
                <w:lang w:eastAsia="pl-PL"/>
              </w:rPr>
              <w:t>Diotymy</w:t>
            </w:r>
            <w:proofErr w:type="spellEnd"/>
            <w:r w:rsidRPr="00F840CC">
              <w:rPr>
                <w:sz w:val="20"/>
                <w:lang w:eastAsia="pl-PL"/>
              </w:rPr>
              <w:t xml:space="preserve"> o Erosie jako wypowiedź na temat roli filozofa w świecie.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odnosi treść dialogu „Uczta” do epistemologii i ontologii Platona,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odgrywa rolę wyznaczonego bohatera „Uczty” Platona, właściwie interpretując i trafnie przedstawiając jego stanowisko filozoficzne.</w:t>
            </w:r>
          </w:p>
        </w:tc>
        <w:tc>
          <w:tcPr>
            <w:tcW w:w="2358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odnosi treść dialogu „Uczta” do współczesnych zagadnień i problemów,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podczas odgrywania roli wyznaczonego bohatera „Uczty” Platona, argumentuje za stanowiskiem swojej postaci oraz polemizuje z innymi uczestnikami „Uczty”.</w:t>
            </w:r>
          </w:p>
        </w:tc>
        <w:tc>
          <w:tcPr>
            <w:tcW w:w="4429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polemizuje z koncepcją miłości Platona, konstruując własną argumentację w tym zakresie,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odnosi rozumienie miłości według Platona do literatury oraz innych tekstów kultury i swobodnie wykorzystuje te konteksty podczas własnych wypowiedzi.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3892" w:type="dxa"/>
            <w:gridSpan w:val="5"/>
          </w:tcPr>
          <w:p w:rsidR="00E452AB" w:rsidRPr="00331649" w:rsidRDefault="00E452AB" w:rsidP="00331649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VIII </w:t>
            </w:r>
            <w:r w:rsidRPr="00F840CC">
              <w:rPr>
                <w:b/>
                <w:szCs w:val="24"/>
              </w:rPr>
              <w:t>System filozoficzny Arystotelesa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4"/>
        </w:trPr>
        <w:tc>
          <w:tcPr>
            <w:tcW w:w="2391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 xml:space="preserve">definiuje pojęcia: </w:t>
            </w:r>
            <w:r w:rsidRPr="00F840CC">
              <w:rPr>
                <w:i/>
                <w:sz w:val="20"/>
              </w:rPr>
              <w:t>byt</w:t>
            </w:r>
            <w:r w:rsidRPr="00F840CC">
              <w:rPr>
                <w:sz w:val="20"/>
              </w:rPr>
              <w:t xml:space="preserve">, </w:t>
            </w:r>
            <w:r w:rsidRPr="00F840CC">
              <w:rPr>
                <w:i/>
                <w:sz w:val="20"/>
              </w:rPr>
              <w:t>materia</w:t>
            </w:r>
            <w:r w:rsidRPr="00F840CC">
              <w:rPr>
                <w:sz w:val="20"/>
              </w:rPr>
              <w:t xml:space="preserve"> i </w:t>
            </w:r>
            <w:r w:rsidRPr="00F840CC">
              <w:rPr>
                <w:i/>
                <w:sz w:val="20"/>
              </w:rPr>
              <w:t>forma</w:t>
            </w:r>
            <w:r w:rsidRPr="00F840CC">
              <w:rPr>
                <w:sz w:val="20"/>
              </w:rPr>
              <w:t xml:space="preserve">, </w:t>
            </w:r>
            <w:r w:rsidRPr="00F840CC">
              <w:rPr>
                <w:i/>
                <w:sz w:val="20"/>
              </w:rPr>
              <w:t>substancja</w:t>
            </w:r>
            <w:r w:rsidRPr="00F840CC">
              <w:rPr>
                <w:sz w:val="20"/>
              </w:rPr>
              <w:t xml:space="preserve"> oraz </w:t>
            </w:r>
            <w:r w:rsidRPr="00F840CC">
              <w:rPr>
                <w:i/>
                <w:sz w:val="20"/>
              </w:rPr>
              <w:t>Bóg</w:t>
            </w:r>
            <w:r w:rsidRPr="00F840CC">
              <w:rPr>
                <w:sz w:val="20"/>
              </w:rPr>
              <w:t>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opisuje różnice pomiędzy systemem Platona i Arystotelesa.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przedstawia koncepcję Arystotelesa jako próbę pogodzenia eleatyzmu i wariabilizmu,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wyjaśnia oraz interpretuje najważniejsze pojęcia i kategorie metafizyki Arystotelesa.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omawia koncepcję Arystotelesa oraz ilustruje ją adekwatnymi przykładami,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odnosi koncepcję Arystotelesa do własnego życia.</w:t>
            </w:r>
          </w:p>
        </w:tc>
        <w:tc>
          <w:tcPr>
            <w:tcW w:w="2358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odnosi koncepcję Arystotelesa do codziennych problemów i zagadnień,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ocenia rozstrzygnięcia metafizyczne Arystotelesa i argumentuje za lub przeciw poszczególnym tezom.</w:t>
            </w:r>
          </w:p>
        </w:tc>
        <w:tc>
          <w:tcPr>
            <w:tcW w:w="4429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odnosi koncepcję Arystotelesa do problemów naukowych, m.in. do zagadnień kosmologii,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analizując koncepcję Arystotelesa, posługuje się terminologią i aparatem pojęciowym filozofii.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4"/>
        </w:trPr>
        <w:tc>
          <w:tcPr>
            <w:tcW w:w="2391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podaje definicję człowieka w koncepcji Arystotelesa,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opisuje rolę wspólnoty w rozwoju społecznym człowieka, 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opisuje, czym jest definicja klasyczna i wyjaśnia, z jakich składa się elementów.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podejmuje dyskusję na temat znaczenia języka oraz roli wspólnoty w rozwoju człowieka, 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podaje przykłady definicji skonstruowanych według klasycznego schematu Arystotelesa,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porównuje różne ujęcia człowieka w koncepcji Arystotelesa i Platona.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</w:rPr>
              <w:t>– ocenia koncepcję człowieka w ujęciu Arystotelesa i odnosi ją do własnych spostrzeżeń,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</w:rPr>
              <w:t>– odnosi koncepcję człowieka do założeń metafizycznych i epistemologicznych Arystotelesa.</w:t>
            </w:r>
          </w:p>
        </w:tc>
        <w:tc>
          <w:tcPr>
            <w:tcW w:w="2358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odnosi definicję człowieka w koncepcji Arystotelesa do codziennego życia innych ludzi,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dyskutuje na temat sformułowań dotyczących człowieka i przedstawia adekwatną argumentację.</w:t>
            </w:r>
          </w:p>
        </w:tc>
        <w:tc>
          <w:tcPr>
            <w:tcW w:w="4429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polemizuje z koncepcją Arystotelesa na podstawie kategorii logicznych i z zastosowaniem filozoficznego aparatu pojęciowego,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odnosi koncepcję Arystotelesa do rozstrzygnięć naukowych w zakresie socjologii, psychologii i biologii.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4"/>
        </w:trPr>
        <w:tc>
          <w:tcPr>
            <w:tcW w:w="2391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opisuje najważniejsze założenia eudajmonizmu Arystotelesa,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streszcza oraz wyjaśnia dylematy etyczne polegające na wyborze przyjemności lub cnoty, 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przedstawia koncepcję Arystotelesa na temat przyjaźni.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wyjaśnia, czym różni się eudajmonizm i etyka cnót,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rozważa dylematy etyczne polegające na wyborze przyjemności lub cnoty, 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rozważa koncepcję Arystotelesa na temat przyjaźni i podaje adekwatne przykłady.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rozstrzyga dylematy etyczne polegające na wyborze przyjemności lub cnoty w odniesieniu do koncepcji Arystotelesa,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analizuje i odnosi do własnego życia przemyślenia Arystotelesa na temat przyjaźni.</w:t>
            </w:r>
          </w:p>
        </w:tc>
        <w:tc>
          <w:tcPr>
            <w:tcW w:w="2358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formułuje własny pogląd na temat sposobów osiągania szczęścia i eudajmonizmu oraz uzasadnia przedstawione stanowisko</w:t>
            </w:r>
            <w:r w:rsidRPr="00F840CC">
              <w:rPr>
                <w:sz w:val="20"/>
                <w:lang w:eastAsia="pl-PL"/>
              </w:rPr>
              <w:t xml:space="preserve">, 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analizuje i odnosi zagadnienie eudajmonizmu do współczesnych problemów i zagadnień etycznych.</w:t>
            </w:r>
          </w:p>
        </w:tc>
        <w:tc>
          <w:tcPr>
            <w:tcW w:w="4429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przedstawia pozytywne oraz negatywne aspekty eudajmonizmu Arystotelesa,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konstruuje własne przykłady dylematów etycznych dotyczących wyboru przyjemności lub cnoty. 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391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wyjaśnia genezę i funkcję państwa według Arystotelesa,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przedstawia koncepcję form ustrojowych wyszczególnionych przez Arystotelesa.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porównuje koncepcję ustrojów według Platona i Arystotelesa, 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rozważa problem funkcji i genezy istnienia państwa według Arystotelesa.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</w:rPr>
              <w:t>– odnosi koncepcję polityczną Arystotelesa do całokształtu jego systemu filozoficznego,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</w:rPr>
              <w:t>– podejmuje dyskusję na temat problemów i zagadnień filozofii polityki Arystotelesa.</w:t>
            </w:r>
          </w:p>
        </w:tc>
        <w:tc>
          <w:tcPr>
            <w:tcW w:w="2358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</w:rPr>
              <w:t>– odnosi koncepcję polityczną Arystotelesa do wiedzy historycznej i społecznej oraz przedstawia własną argumentację,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adekwatnie oraz trafnie odgrywa powierzoną rolę w dyskusji panelowej na temat problemów i zagadnień filozofii polityki Arystotelesa.</w:t>
            </w:r>
          </w:p>
        </w:tc>
        <w:tc>
          <w:tcPr>
            <w:tcW w:w="4429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podejmuje filozoficzną polemikę z koncepcją Arystotelesa na temat roli kobiet oraz osób wykonujących pracę fizyczną w państwie,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stosuje w dyskusji pojęcia filozoficzne i trafnie odnosi je do poruszanych kwestii,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sprawnie odpiera zarzuty innych dyskutantów, stosując filozoficzny aparat pojęciowy.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3892" w:type="dxa"/>
            <w:gridSpan w:val="5"/>
          </w:tcPr>
          <w:p w:rsidR="00E452AB" w:rsidRPr="00331649" w:rsidRDefault="00E452AB" w:rsidP="00331649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 xml:space="preserve">IX </w:t>
            </w:r>
            <w:r w:rsidRPr="00F840CC">
              <w:rPr>
                <w:b/>
                <w:szCs w:val="24"/>
              </w:rPr>
              <w:t>Stoicyzm i epikureizm – dwa modele życia etycznego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47"/>
        </w:trPr>
        <w:tc>
          <w:tcPr>
            <w:tcW w:w="2391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przedstawia koncepcje epistemologiczne i etyczne epikurejczyków oraz stoików,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wyjaśnia związek pomiędzy nauczaniem szkół helleńskich a perfekcjonizmem i hedonizmem etycznym.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porównuje wizję szczęścia według epikurejczyków i stoików,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rozważa zasadność odnoszenia się do perfekcjonizmu i hedonizmu do codziennych sytuacji życiowych.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opisuje i realizuje wybrane ćwiczenia stoickie,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podejmuje refleksję na temat samego siebie i własnego życia na podstawie wiedzy na temat stoicyzmu i epikureizmu.</w:t>
            </w:r>
          </w:p>
        </w:tc>
        <w:tc>
          <w:tcPr>
            <w:tcW w:w="2358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 xml:space="preserve">– rozstrzyga problemy i zagadnienia etyczne z zastosowaniem pojęć charakterystycznych dla nauczania szkół helleńskich. </w:t>
            </w:r>
          </w:p>
        </w:tc>
        <w:tc>
          <w:tcPr>
            <w:tcW w:w="4429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podejmuje polemikę dotyczącą poszczególnych założeń etycznych szkół helleńskich i uzasadnia swój pogląd w tej kwestii,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podejmuje pracę nad samym sobą na podstawie uzyskanej samowiedzy etycznej.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4"/>
        </w:trPr>
        <w:tc>
          <w:tcPr>
            <w:tcW w:w="2391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opisuje dwa modele oceny etycznej: utylitaryzm i deontologię,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przedstawia podobieństwa pomiędzy opisywanymi modelami a nauczaniem etycznym charakterystycznym dla szkoły epikurejskiej i stoickiej.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zestawia ze sobą dwa modele oceny etycznej: utylitaryzm i deontologię i odnosi je do starożytnych wzorców,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podaje przykłady ilustrujące poznane modele oceny etycznej. 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stosuje poznane modele: utylitaryzm i deontologię do etycznej oceny działań i czynów ludzkich, 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opowiada się za wybranym modelem oceny działań i uzasadnia jego znaczenie.</w:t>
            </w:r>
          </w:p>
        </w:tc>
        <w:tc>
          <w:tcPr>
            <w:tcW w:w="2358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uzasadnia wybór określonego modelu etycznej oceny działań ludzkich, stosując trafną argumentację filozoficzną i ilustrując wybór właściwymi przykładami,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trafnie rozstrzyga dylematy etyczne z zastosowaniem poznanych koncepcji i modeli oceny etycznej.</w:t>
            </w:r>
          </w:p>
        </w:tc>
        <w:tc>
          <w:tcPr>
            <w:tcW w:w="4429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konstruuje własne przykłady dylematów etycznych pozwalających na dokonanie wyboru moralnego,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uzasadniając trafność wyboru określonego modelu oceny etycznej, odnosi się do wiedzy z zakresu psychologii oraz do wybranych przykładów postaci literackich i filmowych.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391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przywołuje dzieła literackie zawierające odniesienie do stoicyzmu lub epikureizmu,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opisuje i wyróżnia wątki epikurejskie oraz stoickie w dziełach literackich i malarskich.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interpretuje dzieła literackie w odniesieniu do filozofii hellenistycznej, 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interpretuje dzieło malarskie w odniesieniu do motywów stoickich i epikurejskich.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samodzielnie poszukuje nawiązań filozoficznych w znanych sobie dziełach literackich, malarskich i filmowych,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przedstawia na forum klasy wybrane przez siebie dzieła pod względem obecności w nich motywów filozofii helleńskiej.</w:t>
            </w:r>
          </w:p>
        </w:tc>
        <w:tc>
          <w:tcPr>
            <w:tcW w:w="2358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odnosi wybrane dzieła kultury do wątków pochodzących z filozofii helleńskiej i interpretuje je w szerszym kontekście filozoficznym,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przedstawia argumentację filozoficzną wspierającą wybór przedstawianych przez siebie dzieł literackich lub malarskich.</w:t>
            </w:r>
          </w:p>
        </w:tc>
        <w:tc>
          <w:tcPr>
            <w:tcW w:w="4429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podejmuje samodzielną polemikę z założeniami filozoficznymi szkół helleńskich w formie przedstawienia artystycznego odniesienia kontrastującego z wizją epikurejską lub stoicką,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podejmuje dialog z poznanymi koncepcjami poprzez własną twórczość (esej, wiersz, etiuda filmowa, obraz, fotografia itp.).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3892" w:type="dxa"/>
            <w:gridSpan w:val="5"/>
          </w:tcPr>
          <w:p w:rsidR="00E452AB" w:rsidRPr="00331649" w:rsidRDefault="00E452AB" w:rsidP="00331649">
            <w:pPr>
              <w:spacing w:after="0" w:line="240" w:lineRule="auto"/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 xml:space="preserve">X </w:t>
            </w:r>
            <w:r w:rsidRPr="00F840CC">
              <w:rPr>
                <w:b/>
                <w:szCs w:val="24"/>
              </w:rPr>
              <w:t>Ponadczasowa wartość sceptycyzmu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67"/>
        </w:trPr>
        <w:tc>
          <w:tcPr>
            <w:tcW w:w="2391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przedstawia poszczególne argumenty przeciw możliwości poznania świata,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definiuje dogmatyzm i sceptycyzm,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przedstawia najważniejsze aspekty sceptycyzmu.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porównuje i ocenia dogmatyzm i sceptycyzm,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 xml:space="preserve">– podaje przykłady ilustrujące poszczególne tropy </w:t>
            </w:r>
            <w:proofErr w:type="spellStart"/>
            <w:r w:rsidRPr="00F840CC">
              <w:rPr>
                <w:sz w:val="20"/>
              </w:rPr>
              <w:t>sceptyckie</w:t>
            </w:r>
            <w:proofErr w:type="spellEnd"/>
            <w:r w:rsidRPr="00F840CC">
              <w:rPr>
                <w:sz w:val="20"/>
              </w:rPr>
              <w:t>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rozważa współczesne nawiązania do sceptycyzmu,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zajmuje stanowisko w kwestii konsekwencji filozoficznych sceptycyzmu.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58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stosuje poznaną wiedzę do współczesnych rozważań na temat możliwości poznawania prawdy, 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odnosi argumentację sceptyków do innych zagadnień filozoficznych.</w:t>
            </w:r>
          </w:p>
        </w:tc>
        <w:tc>
          <w:tcPr>
            <w:tcW w:w="4429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podejmuje polemikę na temat możliwości dotarcia do prawdy, opierając się na terminologii filozoficznej, tekstach źródłowych oraz wiedzy naukowej.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4"/>
        </w:trPr>
        <w:tc>
          <w:tcPr>
            <w:tcW w:w="2391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przedstawia wątpliwości i argumentację sceptyków dotyczącą możliwości dotarcia do obiektywnej prawdy,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rekonstruuje i wyjaśnia eksperymenty myślowe ilustrujące wątpliwości epistemologiczne sceptyków.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rozważa możliwość dotarcia do obiektywnej prawdy,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bierze udział w dyskusji na temat możliwości komunikacji między ludźmi, 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porównuje poszczególne stanowiska filozoficzne klasyfikowane jako dogmatyczne lub sceptyczne.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wyraża własne stanowisko na temat możliwości dotarcia do obiektywnej prawdy,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w dyskusji na temat możliwości komunikacji między ludźmi stara się jak najtrafniej uzasadnić przedstawiane przez siebie racje, 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samodzielnie rozstrzyga dylematy i eksperymenty myślowe dotyczące ludzkiej wiedzy.</w:t>
            </w:r>
          </w:p>
        </w:tc>
        <w:tc>
          <w:tcPr>
            <w:tcW w:w="2358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uzasadnia stanowisko na temat możliwości dotarcia do obiektywnej prawdy,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</w:rPr>
              <w:t>– odnosi problem wiedzy do innych zagadnień filozoficznych,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konstruuje własne eksperymenty myślowe dotyczące ludzkiej wiedzy.</w:t>
            </w:r>
          </w:p>
        </w:tc>
        <w:tc>
          <w:tcPr>
            <w:tcW w:w="4429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podejmuje polemikę ze sceptycyzmem tworząc argumentację opierającą się na terminologii filozoficznej,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w dyskusji na temat możliwości komunikacji, uzasadnia własne stanowisko, odnosi się do wiedzy naukowej oraz odpiera głosy polemiczne</w:t>
            </w:r>
            <w:r w:rsidRPr="00F840CC">
              <w:rPr>
                <w:sz w:val="20"/>
                <w:lang w:eastAsia="pl-PL"/>
              </w:rPr>
              <w:t>.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4"/>
        </w:trPr>
        <w:tc>
          <w:tcPr>
            <w:tcW w:w="2391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wymienia i opisuje błędy rzeczowe i formalne rozumowań,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opisuje i wyjaśnia, czym są chwyty erystyczne.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dostrzega i nazywa poszczególne błędy w podanych w podręczniku rozumowaniach,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podaje przykłady błędnych wypowiedzi.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rozpoznaje błędne rozumowania zawierające ukryte przesłanki,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identyfikuje usterki logiczne i rzeczowe obecne w dłuższych rozumowaniach, 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wykonuje ćwiczenia ukazujące poprawne i błędne rozumowania.</w:t>
            </w:r>
          </w:p>
        </w:tc>
        <w:tc>
          <w:tcPr>
            <w:tcW w:w="2358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rozpoznaje błędne rozumowania obecne w rozważaniach filozoficznych</w:t>
            </w:r>
            <w:r w:rsidRPr="00F840CC">
              <w:rPr>
                <w:sz w:val="20"/>
                <w:lang w:eastAsia="pl-PL"/>
              </w:rPr>
              <w:t xml:space="preserve">, 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projektuje własne przykłady poprawnych i błędnych rozumowań.</w:t>
            </w:r>
          </w:p>
        </w:tc>
        <w:tc>
          <w:tcPr>
            <w:tcW w:w="4429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wyszukuje </w:t>
            </w:r>
            <w:r w:rsidRPr="00F840CC">
              <w:rPr>
                <w:sz w:val="20"/>
              </w:rPr>
              <w:t>błędne rozumowania w przekazach medialnych oraz tekstach filozoficznych</w:t>
            </w:r>
            <w:r w:rsidRPr="00F840CC">
              <w:rPr>
                <w:sz w:val="20"/>
                <w:lang w:eastAsia="pl-PL"/>
              </w:rPr>
              <w:t xml:space="preserve">, 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przedstawia poprawne rozumowania, zastępując błędy obecne w wypowiedziach,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reaguje na chwyty erystyczne stosowane w wypowiedziach innych osób.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13892" w:type="dxa"/>
            <w:gridSpan w:val="5"/>
          </w:tcPr>
          <w:p w:rsidR="00E452AB" w:rsidRPr="00E452AB" w:rsidRDefault="00E452AB" w:rsidP="00E452AB">
            <w:pPr>
              <w:spacing w:after="0" w:line="240" w:lineRule="auto"/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 xml:space="preserve">XI </w:t>
            </w:r>
            <w:r w:rsidRPr="00F840CC">
              <w:rPr>
                <w:b/>
                <w:szCs w:val="24"/>
              </w:rPr>
              <w:t>Początki filozoficznej teologii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4"/>
        </w:trPr>
        <w:tc>
          <w:tcPr>
            <w:tcW w:w="2391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wyjaśnia koncepcje Boga w rozumieniu starożytnych myślicieli,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wyjaśnia, jaki wpływ miały starożytne koncepcje Absolutu na chrześcijańskie ujmowanie Boga.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interpretuje i porównuje koncepcje Boga w ujęciu poszczególnych starożytnych myślicieli,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rozważa wpływ starożytnych koncepcji Absolutu na chrześcijańskie pojmowanie Boga.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podejmuje dyskusję na temat istnienia i natury Boga, 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poszukuje dodatkowych źródeł informacji na temat pojmowania Boga na przestrzeni dziejów oraz w innych kulturach.</w:t>
            </w:r>
          </w:p>
        </w:tc>
        <w:tc>
          <w:tcPr>
            <w:tcW w:w="2358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ocenia rozumowanie stosowane przez myślicieli tworzących własne koncepcje Boga w starożytności,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zajmuje stanowisko w dyskusji na temat istnienia i natury Boga, 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odnosi problem istnienia i atrybutów Boga do codziennego życia.</w:t>
            </w:r>
          </w:p>
        </w:tc>
        <w:tc>
          <w:tcPr>
            <w:tcW w:w="4429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dokonuje filozoficznej polemiki z koncepcjami Boga w ujęciu starożytnych myślicieli,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w dyskusji na temat istnienia i natury Boga, stosuje argumentację filozoficzną i trafnie odpowiada na argumenty pozostałych rozmówców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rozważa wpływ starożytnych koncepcji Absolutu na kulturę europejską.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391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 xml:space="preserve">definiuje pojęcia obecne w koncepcji św. Augustyna z </w:t>
            </w:r>
            <w:proofErr w:type="spellStart"/>
            <w:r w:rsidRPr="00F840CC">
              <w:rPr>
                <w:sz w:val="20"/>
              </w:rPr>
              <w:t>Hippony</w:t>
            </w:r>
            <w:proofErr w:type="spellEnd"/>
            <w:r w:rsidRPr="00F840CC">
              <w:rPr>
                <w:sz w:val="20"/>
              </w:rPr>
              <w:t xml:space="preserve">: </w:t>
            </w:r>
            <w:r w:rsidRPr="00F840CC">
              <w:rPr>
                <w:i/>
                <w:sz w:val="20"/>
              </w:rPr>
              <w:t>iluminacja</w:t>
            </w:r>
            <w:r w:rsidRPr="00F840CC">
              <w:rPr>
                <w:sz w:val="20"/>
              </w:rPr>
              <w:t xml:space="preserve">, </w:t>
            </w:r>
            <w:r w:rsidRPr="00F840CC">
              <w:rPr>
                <w:i/>
                <w:sz w:val="20"/>
              </w:rPr>
              <w:t>wola</w:t>
            </w:r>
            <w:r w:rsidRPr="00F840CC">
              <w:rPr>
                <w:sz w:val="20"/>
              </w:rPr>
              <w:t xml:space="preserve">, </w:t>
            </w:r>
            <w:r w:rsidRPr="00F840CC">
              <w:rPr>
                <w:i/>
                <w:sz w:val="20"/>
              </w:rPr>
              <w:t>manicheizm</w:t>
            </w:r>
            <w:r w:rsidRPr="00F840CC">
              <w:rPr>
                <w:sz w:val="20"/>
              </w:rPr>
              <w:t xml:space="preserve">, </w:t>
            </w:r>
            <w:r w:rsidRPr="00F840CC">
              <w:rPr>
                <w:i/>
                <w:sz w:val="20"/>
              </w:rPr>
              <w:t>introspekcja</w:t>
            </w:r>
            <w:r w:rsidRPr="00F840CC">
              <w:rPr>
                <w:sz w:val="20"/>
              </w:rPr>
              <w:t>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wyjaśnia rozumienie i odmiany zła w koncepcji św. Augustyna,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objaśnia założenia historiozoficzne filozofa.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rozważa filozoficzne znaczenie i historyczną doniosłość poglądów św. Augustyna, 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rozważa problem istnienia i interpretacji zła oraz podaje przykłady ilustrujące to zagadnienie,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rozważa problem sensu i celowości dziejów człowieka.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</w:rPr>
              <w:t>– podejmuje dyskusję na temat przejawów zła moralnego oraz realnego istnienia zła ontycznego,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</w:rPr>
              <w:t>– odnosi zagadnienia historiozofii do wydarzeń w dziejach ludzkości.</w:t>
            </w:r>
          </w:p>
        </w:tc>
        <w:tc>
          <w:tcPr>
            <w:tcW w:w="2358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formułuje własne stanowisko na temat istnienia zła oraz jego przejawów i argumentuje za przyjętym rozwiązaniem,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podaje przykłady codziennych sytuacji, które odnoszą się do koncepcji św. Augustyna.</w:t>
            </w:r>
          </w:p>
        </w:tc>
        <w:tc>
          <w:tcPr>
            <w:tcW w:w="4429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podejmuje polemikę na temat pojmowania czasu, wolnej woli oraz umysłu przez św. Augustyna,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aktywnie dyskutuje na temat koncepcji zła i odnosi ją do wiedzy z zakresu psychologii, socjologii i innych nauk,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posługuje się pojęciami filozoficznymi i naukowymi podczas wypowiedzi na temat zagadnienia wolnej woli.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3892" w:type="dxa"/>
            <w:gridSpan w:val="5"/>
          </w:tcPr>
          <w:p w:rsidR="00E452AB" w:rsidRPr="00E452AB" w:rsidRDefault="00E452AB" w:rsidP="00E452AB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XII </w:t>
            </w:r>
            <w:r w:rsidRPr="00F840CC">
              <w:rPr>
                <w:b/>
                <w:szCs w:val="24"/>
              </w:rPr>
              <w:t>Źródła estetyki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20"/>
        </w:trPr>
        <w:tc>
          <w:tcPr>
            <w:tcW w:w="2391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wyjaśnia, czym jest estetyka i jakimi kwestiami się zajmuje,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opisuje klasyczne rozumienie sztuki.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porównuje różne koncepcje sztuki obecne w dziejach estetyki,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rozważa klasyczne rozumienie sztuki i odnosi je do współczesnego ujęcia działalności artystycznej.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</w:rPr>
              <w:t>– podejmuje rozważania na temat istoty sztuki w dziejach filozofii i we współczesnym świecie,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</w:rPr>
              <w:t>– podaje przykłady dzieł artystycznych i na ich podstawie przywołuje klasyczne kategorie estetyczne.</w:t>
            </w:r>
          </w:p>
        </w:tc>
        <w:tc>
          <w:tcPr>
            <w:tcW w:w="2358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zajmuje stanowisko w kwestii funkcji i istoty sztuki i argumentuje za przyjętym rozwiązaniem,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ilustruje swoje poglądy poprzez przywołanie konkretnych dzieł artystycznych,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osadza refleksję estetyczną w szerszym kontekście filozofii klasycznej.</w:t>
            </w:r>
          </w:p>
        </w:tc>
        <w:tc>
          <w:tcPr>
            <w:tcW w:w="4429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podejmuje dyskusję na temat różnych sposobów pojmowania sztuki i argumentuje, stosując terminologię filozoficzną,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podejmuje polemikę z klasyczną koncepcją sztuki w nawiązaniu do historii sztuki i kategorii estetycznych,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aktywnie angażuje się w spór dotyczący roli sztuki i podaje przykłady mniej znanych dzieł artystycznych, aby zilustrować swoją argumentację.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391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wyjaśnia, na czym polegała teoria piękna w ujęciu pitagorejczyków,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rekonstruuje stanowiska estetyczne dotyczące piękna.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– rozważa, czym jest piękno według niego i czym było w kontekście teorii pitagorejczyków,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rozważa poszczególne argumenty i stanowiska w sporze o kryteria oceny estetycznej.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</w:rPr>
              <w:t>– podejmuje rozważania na temat tego, jak zmieniało się pojęcie piękna na przestrzeni dziejów,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</w:rPr>
              <w:t>– podaje przykłady dzieł artystycznych odzwierciedlających poszczególne ujęcia piękna i zestawia je ze sobą,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</w:rPr>
              <w:t>– podejmuje dyskusję na temat kryteriów oceny estetycznej.</w:t>
            </w:r>
          </w:p>
        </w:tc>
        <w:tc>
          <w:tcPr>
            <w:tcW w:w="2358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dokonuje samodzielnej oceny estetycznej wybranego dzieła sztuki, stosując w tym celu poznane kategorie,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wyraża własny pogląd na temat piękna i uzasadnia swoje przekonania,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porównuje kryteria piękna obecne w kulturze europejskiej z innymi wzorcami.</w:t>
            </w:r>
          </w:p>
        </w:tc>
        <w:tc>
          <w:tcPr>
            <w:tcW w:w="4429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oceniając dzieło sztuki pod względem kategorii piękna, wchodzi w polemikę z przyjętymi kryteriami oceny estetycznej,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uzasadnia własne przekonania dotyczące piękna i jego własności, odnosząc się do kategorii filozoficznych.</w:t>
            </w:r>
          </w:p>
        </w:tc>
      </w:tr>
      <w:tr w:rsidR="00E452AB" w:rsidRPr="00F840CC" w:rsidTr="0017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76"/>
        </w:trPr>
        <w:tc>
          <w:tcPr>
            <w:tcW w:w="2391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</w:t>
            </w:r>
            <w:r w:rsidRPr="00F840CC">
              <w:rPr>
                <w:sz w:val="20"/>
              </w:rPr>
              <w:t>przedstawia rozumienie sztuki według Arystotelesa,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opisuje funkcje sztuki według </w:t>
            </w:r>
            <w:proofErr w:type="spellStart"/>
            <w:r w:rsidRPr="00F840CC">
              <w:rPr>
                <w:sz w:val="20"/>
                <w:lang w:eastAsia="pl-PL"/>
              </w:rPr>
              <w:t>Stagiryty</w:t>
            </w:r>
            <w:proofErr w:type="spellEnd"/>
            <w:r w:rsidRPr="00F840CC">
              <w:rPr>
                <w:sz w:val="20"/>
                <w:lang w:eastAsia="pl-PL"/>
              </w:rPr>
              <w:t xml:space="preserve">, 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 xml:space="preserve">– definiuje pojęcia </w:t>
            </w:r>
            <w:r w:rsidRPr="00F840CC">
              <w:rPr>
                <w:i/>
                <w:sz w:val="20"/>
                <w:lang w:eastAsia="pl-PL"/>
              </w:rPr>
              <w:t>katharsis</w:t>
            </w:r>
            <w:r w:rsidRPr="00F840CC">
              <w:rPr>
                <w:sz w:val="20"/>
                <w:lang w:eastAsia="pl-PL"/>
              </w:rPr>
              <w:t xml:space="preserve"> i </w:t>
            </w:r>
            <w:r w:rsidRPr="00F840CC">
              <w:rPr>
                <w:i/>
                <w:sz w:val="20"/>
                <w:lang w:eastAsia="pl-PL"/>
              </w:rPr>
              <w:t>mimesis</w:t>
            </w:r>
            <w:r w:rsidRPr="00F840CC">
              <w:rPr>
                <w:sz w:val="20"/>
                <w:lang w:eastAsia="pl-PL"/>
              </w:rPr>
              <w:t xml:space="preserve"> w rozumieniu Arystotelesa.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F840CC">
              <w:rPr>
                <w:sz w:val="20"/>
                <w:lang w:eastAsia="pl-PL"/>
              </w:rPr>
              <w:t xml:space="preserve">– porównuje pojęcia </w:t>
            </w:r>
            <w:r w:rsidRPr="00F840CC">
              <w:rPr>
                <w:i/>
                <w:sz w:val="20"/>
                <w:lang w:eastAsia="pl-PL"/>
              </w:rPr>
              <w:t>katharsis</w:t>
            </w:r>
            <w:r w:rsidRPr="00F840CC">
              <w:rPr>
                <w:sz w:val="20"/>
                <w:lang w:eastAsia="pl-PL"/>
              </w:rPr>
              <w:t xml:space="preserve"> i </w:t>
            </w:r>
            <w:r w:rsidRPr="00F840CC">
              <w:rPr>
                <w:i/>
                <w:sz w:val="20"/>
                <w:lang w:eastAsia="pl-PL"/>
              </w:rPr>
              <w:t>mimesis</w:t>
            </w:r>
            <w:r w:rsidRPr="00F840CC">
              <w:rPr>
                <w:sz w:val="20"/>
                <w:lang w:eastAsia="pl-PL"/>
              </w:rPr>
              <w:t xml:space="preserve"> obecne u różnych myślicieli w odniesieniu do koncepcji Arystotelesa,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  <w:lang w:eastAsia="pl-PL"/>
              </w:rPr>
              <w:t>– porównuje koncepcję sztuki Arystotelesa z ujęciem innych filozofów starożytnych.</w:t>
            </w:r>
          </w:p>
        </w:tc>
        <w:tc>
          <w:tcPr>
            <w:tcW w:w="2357" w:type="dxa"/>
          </w:tcPr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</w:rPr>
              <w:t>– odnosi koncepcję sztuki do współczesnego pojmowania działalności artystycznej,</w:t>
            </w:r>
          </w:p>
          <w:p w:rsidR="00E452AB" w:rsidRPr="00F840CC" w:rsidRDefault="00E452AB" w:rsidP="00CC67FF">
            <w:pPr>
              <w:spacing w:after="0" w:line="240" w:lineRule="auto"/>
              <w:rPr>
                <w:sz w:val="20"/>
              </w:rPr>
            </w:pPr>
            <w:r w:rsidRPr="00F840CC">
              <w:rPr>
                <w:sz w:val="20"/>
              </w:rPr>
              <w:t xml:space="preserve">– rozważa współczesne zastosowania kategorii </w:t>
            </w:r>
            <w:r w:rsidRPr="00F840CC">
              <w:rPr>
                <w:i/>
                <w:sz w:val="20"/>
              </w:rPr>
              <w:t>katharsis</w:t>
            </w:r>
            <w:r w:rsidRPr="00F840CC">
              <w:rPr>
                <w:sz w:val="20"/>
              </w:rPr>
              <w:t xml:space="preserve"> obecnej w systemie Arystotelesa.</w:t>
            </w:r>
          </w:p>
        </w:tc>
        <w:tc>
          <w:tcPr>
            <w:tcW w:w="2358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podejmuje dyskusję na temat funkcji sztuki opisanej przez Arystotelesa,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odnosząc się do koncepcji filozofa, przedstawia przykłady dzieł ilustrujących jego koncepcję,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 xml:space="preserve">– odnosi teorię </w:t>
            </w:r>
            <w:r w:rsidRPr="00F840CC">
              <w:rPr>
                <w:i/>
                <w:sz w:val="20"/>
              </w:rPr>
              <w:t>katharsis</w:t>
            </w:r>
            <w:r w:rsidRPr="00F840CC">
              <w:rPr>
                <w:sz w:val="20"/>
              </w:rPr>
              <w:t xml:space="preserve"> do codziennego życia. </w:t>
            </w:r>
          </w:p>
        </w:tc>
        <w:tc>
          <w:tcPr>
            <w:tcW w:w="4429" w:type="dxa"/>
          </w:tcPr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Uczeń: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podejmuje polemikę z koncepcją sztuki w ujęciu Arystotelesa, stosując przy tym terminologię filozoficzną i odnosząc się do wiedzy z zakresu historii sztuki i estetyki,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>– ukazując dzieła artystyczne, wskazuje mocne strony i słabości koncepcji Arystotelesa,</w:t>
            </w:r>
          </w:p>
          <w:p w:rsidR="00E452AB" w:rsidRPr="00F840CC" w:rsidRDefault="00E452AB" w:rsidP="00CC67FF">
            <w:pPr>
              <w:spacing w:after="0" w:line="240" w:lineRule="auto"/>
              <w:contextualSpacing/>
              <w:rPr>
                <w:sz w:val="20"/>
              </w:rPr>
            </w:pPr>
            <w:r w:rsidRPr="00F840CC">
              <w:rPr>
                <w:sz w:val="20"/>
              </w:rPr>
              <w:t xml:space="preserve">– odnosi koncepcję </w:t>
            </w:r>
            <w:r w:rsidRPr="00F840CC">
              <w:rPr>
                <w:i/>
                <w:sz w:val="20"/>
              </w:rPr>
              <w:t>katharsis</w:t>
            </w:r>
            <w:r w:rsidRPr="00F840CC">
              <w:rPr>
                <w:sz w:val="20"/>
              </w:rPr>
              <w:t xml:space="preserve"> do psychologii i sztuki współczesnej.</w:t>
            </w:r>
          </w:p>
        </w:tc>
      </w:tr>
    </w:tbl>
    <w:p w:rsidR="00B96437" w:rsidRDefault="00B96437" w:rsidP="00B96437"/>
    <w:sectPr w:rsidR="00B96437" w:rsidSect="00BD2B67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556"/>
    <w:multiLevelType w:val="hybridMultilevel"/>
    <w:tmpl w:val="1D34D88E"/>
    <w:lvl w:ilvl="0" w:tplc="A378D0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674C"/>
    <w:multiLevelType w:val="hybridMultilevel"/>
    <w:tmpl w:val="1D34D88E"/>
    <w:lvl w:ilvl="0" w:tplc="A378D0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B08DD"/>
    <w:multiLevelType w:val="hybridMultilevel"/>
    <w:tmpl w:val="1D34D88E"/>
    <w:lvl w:ilvl="0" w:tplc="A378D0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52892"/>
    <w:multiLevelType w:val="hybridMultilevel"/>
    <w:tmpl w:val="1D34D88E"/>
    <w:lvl w:ilvl="0" w:tplc="A378D0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A5879"/>
    <w:multiLevelType w:val="hybridMultilevel"/>
    <w:tmpl w:val="30C453BE"/>
    <w:lvl w:ilvl="0" w:tplc="E3F4BB3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C4130"/>
    <w:multiLevelType w:val="hybridMultilevel"/>
    <w:tmpl w:val="1D34D88E"/>
    <w:lvl w:ilvl="0" w:tplc="A378D0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B53AE"/>
    <w:multiLevelType w:val="hybridMultilevel"/>
    <w:tmpl w:val="1D34D88E"/>
    <w:lvl w:ilvl="0" w:tplc="A378D0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50FD5"/>
    <w:multiLevelType w:val="hybridMultilevel"/>
    <w:tmpl w:val="1D34D88E"/>
    <w:lvl w:ilvl="0" w:tplc="A378D0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3422C"/>
    <w:multiLevelType w:val="hybridMultilevel"/>
    <w:tmpl w:val="1D34D88E"/>
    <w:lvl w:ilvl="0" w:tplc="A378D0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A2B10"/>
    <w:multiLevelType w:val="hybridMultilevel"/>
    <w:tmpl w:val="256281AE"/>
    <w:lvl w:ilvl="0" w:tplc="8FDA4A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C066B"/>
    <w:multiLevelType w:val="hybridMultilevel"/>
    <w:tmpl w:val="1D34D88E"/>
    <w:lvl w:ilvl="0" w:tplc="A378D0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F2E9A"/>
    <w:multiLevelType w:val="hybridMultilevel"/>
    <w:tmpl w:val="1D34D88E"/>
    <w:lvl w:ilvl="0" w:tplc="A378D0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437"/>
    <w:rsid w:val="00176B34"/>
    <w:rsid w:val="002843EA"/>
    <w:rsid w:val="00331649"/>
    <w:rsid w:val="0060695C"/>
    <w:rsid w:val="00634438"/>
    <w:rsid w:val="0064181B"/>
    <w:rsid w:val="00B96437"/>
    <w:rsid w:val="00BD2B67"/>
    <w:rsid w:val="00CC67FF"/>
    <w:rsid w:val="00E2341E"/>
    <w:rsid w:val="00E452AB"/>
    <w:rsid w:val="00F15363"/>
    <w:rsid w:val="00F91ABF"/>
    <w:rsid w:val="00FE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437"/>
    <w:rPr>
      <w:rFonts w:ascii="Times New Roman" w:eastAsia="Calibri" w:hAnsi="Times New Roman" w:cs="Tahoma"/>
      <w:i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43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6437"/>
    <w:pPr>
      <w:spacing w:before="100" w:beforeAutospacing="1" w:after="100" w:afterAutospacing="1" w:line="240" w:lineRule="auto"/>
    </w:pPr>
    <w:rPr>
      <w:rFonts w:eastAsia="Times New Roman" w:cs="Times New Roman"/>
      <w:iCs w:val="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6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649"/>
    <w:rPr>
      <w:rFonts w:ascii="Tahoma" w:eastAsia="Calibri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5195</Words>
  <Characters>31172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48501246248</dc:creator>
  <cp:lastModifiedBy>Elżbieta Kurowska</cp:lastModifiedBy>
  <cp:revision>9</cp:revision>
  <dcterms:created xsi:type="dcterms:W3CDTF">2021-09-01T03:06:00Z</dcterms:created>
  <dcterms:modified xsi:type="dcterms:W3CDTF">2022-09-07T12:09:00Z</dcterms:modified>
</cp:coreProperties>
</file>