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D8" w:rsidRDefault="00822C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WYMAGANIA EDUKACYJNE Z </w:t>
      </w:r>
      <w:r>
        <w:rPr>
          <w:rFonts w:ascii="Times New Roman" w:hAnsi="Times New Roman" w:cs="Times New Roman"/>
          <w:b/>
          <w:u w:val="single"/>
        </w:rPr>
        <w:t xml:space="preserve">FIZYKI </w:t>
      </w:r>
      <w:r>
        <w:rPr>
          <w:rFonts w:ascii="Times New Roman" w:hAnsi="Times New Roman" w:cs="Times New Roman"/>
          <w:b/>
        </w:rPr>
        <w:t>NIEZBĘDNE DO UZYSKANIA PRZEZ UCZNIA</w:t>
      </w:r>
    </w:p>
    <w:p w:rsidR="000B69D8" w:rsidRDefault="00822CC3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0B69D8" w:rsidRDefault="00822CC3">
      <w:pPr>
        <w:pStyle w:val="NormalnyWeb"/>
        <w:spacing w:before="280" w:beforeAutospacing="0" w:after="0" w:afterAutospacing="0"/>
        <w:jc w:val="center"/>
        <w:rPr>
          <w:i/>
          <w:color w:val="000000"/>
          <w:sz w:val="27"/>
          <w:szCs w:val="27"/>
          <w:u w:val="single"/>
        </w:rPr>
      </w:pPr>
      <w:r>
        <w:rPr>
          <w:b/>
        </w:rPr>
        <w:t xml:space="preserve">POSZCZEGÓLNYCH ŚRÓDROCZNYCH I ROCZNYCH OCEN KLASYFIKACYJNYCH WYNIKAJĄCYCH Z REALIZOWANEGO PROGRAMU NAUCZANIA </w:t>
      </w:r>
      <w:r>
        <w:rPr>
          <w:b/>
          <w:i/>
          <w:color w:val="000000"/>
          <w:sz w:val="27"/>
          <w:szCs w:val="27"/>
          <w:u w:val="single"/>
        </w:rPr>
        <w:t xml:space="preserve">W. </w:t>
      </w:r>
      <w:proofErr w:type="spellStart"/>
      <w:r>
        <w:rPr>
          <w:b/>
          <w:i/>
          <w:color w:val="000000"/>
          <w:sz w:val="27"/>
          <w:szCs w:val="27"/>
          <w:u w:val="single"/>
        </w:rPr>
        <w:t>Polesiuk</w:t>
      </w:r>
      <w:proofErr w:type="spellEnd"/>
      <w:r>
        <w:rPr>
          <w:b/>
          <w:i/>
          <w:color w:val="000000"/>
          <w:sz w:val="27"/>
          <w:szCs w:val="27"/>
          <w:u w:val="single"/>
        </w:rPr>
        <w:t>, L. Lehman, G. Wojewoda „Fizyka w liceum i technikum –</w:t>
      </w:r>
      <w:r>
        <w:rPr>
          <w:b/>
          <w:i/>
          <w:color w:val="000000"/>
          <w:sz w:val="27"/>
          <w:szCs w:val="27"/>
          <w:u w:val="single"/>
        </w:rPr>
        <w:t xml:space="preserve"> zakres podstawowy”. WSiP</w:t>
      </w:r>
      <w:r>
        <w:rPr>
          <w:b/>
        </w:rPr>
        <w:t xml:space="preserve"> (LICEUM 4-LETNIE)</w:t>
      </w:r>
    </w:p>
    <w:p w:rsidR="000B69D8" w:rsidRDefault="000B69D8">
      <w:pPr>
        <w:spacing w:after="0"/>
        <w:ind w:left="4248" w:firstLine="708"/>
        <w:rPr>
          <w:rFonts w:ascii="Times New Roman" w:hAnsi="Times New Roman" w:cs="Times New Roman"/>
          <w:i/>
          <w:sz w:val="16"/>
          <w:szCs w:val="16"/>
        </w:rPr>
      </w:pPr>
    </w:p>
    <w:p w:rsidR="000B69D8" w:rsidRDefault="000B69D8">
      <w:pPr>
        <w:spacing w:after="0"/>
        <w:jc w:val="center"/>
        <w:rPr>
          <w:rFonts w:ascii="Times New Roman" w:hAnsi="Times New Roman" w:cs="Times New Roman"/>
          <w:b/>
        </w:rPr>
      </w:pPr>
    </w:p>
    <w:p w:rsidR="000B69D8" w:rsidRDefault="00822CC3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ZAKRES PODSTAWOWY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0B69D8">
        <w:tc>
          <w:tcPr>
            <w:tcW w:w="14144" w:type="dxa"/>
            <w:gridSpan w:val="5"/>
            <w:shd w:val="clear" w:color="auto" w:fill="auto"/>
          </w:tcPr>
          <w:p w:rsidR="000B69D8" w:rsidRDefault="00822CC3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dla klasy </w:t>
            </w:r>
            <w:r>
              <w:rPr>
                <w:b/>
                <w:sz w:val="24"/>
              </w:rPr>
              <w:t>2</w:t>
            </w:r>
            <w:bookmarkStart w:id="0" w:name="_GoBack"/>
            <w:bookmarkEnd w:id="0"/>
          </w:p>
        </w:tc>
      </w:tr>
      <w:tr w:rsidR="000B69D8">
        <w:tc>
          <w:tcPr>
            <w:tcW w:w="14144" w:type="dxa"/>
            <w:gridSpan w:val="5"/>
            <w:shd w:val="clear" w:color="auto" w:fill="auto"/>
          </w:tcPr>
          <w:p w:rsidR="000B69D8" w:rsidRDefault="00822CC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ającej.</w:t>
            </w:r>
          </w:p>
        </w:tc>
      </w:tr>
      <w:tr w:rsidR="000B69D8">
        <w:tc>
          <w:tcPr>
            <w:tcW w:w="2828" w:type="dxa"/>
            <w:shd w:val="clear" w:color="auto" w:fill="auto"/>
          </w:tcPr>
          <w:p w:rsidR="000B69D8" w:rsidRDefault="00822CC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bardzo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dobrej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0B69D8">
        <w:tc>
          <w:tcPr>
            <w:tcW w:w="14144" w:type="dxa"/>
            <w:gridSpan w:val="5"/>
            <w:shd w:val="clear" w:color="auto" w:fill="auto"/>
          </w:tcPr>
          <w:p w:rsidR="000B69D8" w:rsidRDefault="00822CC3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DRGANIA</w:t>
            </w:r>
          </w:p>
        </w:tc>
      </w:tr>
      <w:tr w:rsidR="000B69D8">
        <w:trPr>
          <w:trHeight w:val="6422"/>
        </w:trPr>
        <w:tc>
          <w:tcPr>
            <w:tcW w:w="2828" w:type="dxa"/>
            <w:shd w:val="clear" w:color="auto" w:fill="auto"/>
          </w:tcPr>
          <w:p w:rsidR="000B69D8" w:rsidRDefault="00822CC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określa drgania jako cykliczny ruch wokół położenia równowagi,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definicje okresu, amplitudy oraz częstotliwości drgań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zapisuje zależność między wartością siły sprężystości a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 odkształceniem,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określa kierunek i zwrot wypadkowej siły w ruchu drgającym.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określa rodzaje energii w ruchu drgającym,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jakościowo przemiany energii w ruchu drgającym.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wahadło jako przykład układu wykonującego ruch drgający,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jakości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owo przemiany energii podczas ruchu wahadła.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definicję rezonansu mechanicznego.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odczytuje z wykresu wychylenia od czasu amplitudę oraz okres drgań,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wyznacza częstotliwość drgań na podstawie okresu,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proporcjonalność siły wypadkowej do wychyle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nia w ruchu harmonicznym,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doświadczalnie sprawdza zależność okresu drgań ciała zawieszonego na sprężynie od jego masy.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zasadę zachowania energii do obliczania energii w ruchu drgającym.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niezależność okresu drgań wahadła od masy.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posługuje s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ię pojęciem częstotliwości własnej,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demonstruje zjawisko rezonansu mechanicznego.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wyznacza prędkość ciała w momencie mijania położenia równowagi na podstawie wykresu położenia od czasu.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korzysta z II zasady dynamiki Newtona w zadaniach dotyczących ruchu dr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gającego do wyznaczania maksymalnego przyspieszenia.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zależność między energią całkowitą w ruchu drgającym a amplitudą drgań.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jakościowo opisuje siły występujące podczas ruchu wahadła,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określa zależność okresu drgań wahadła od jego długości.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demonst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ruje drgania tłumione oraz wymuszone.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stosuje do obliczeń wzór na okres drgań ciała zawieszonego na sprężynie. </w:t>
            </w:r>
          </w:p>
          <w:p w:rsidR="000B69D8" w:rsidRDefault="00822CC3">
            <w:pPr>
              <w:widowControl w:val="0"/>
              <w:suppressAutoHyphens/>
              <w:spacing w:after="0" w:line="240" w:lineRule="auto"/>
              <w:ind w:left="227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do obliczeń wzór na okres drgań wahadła,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zasadę zachowania energii w zadaniach obliczeniowych dotyczących wahadła.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stosuje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poznaną wiedzę w sytuacjach nietypowych.</w:t>
            </w:r>
          </w:p>
        </w:tc>
      </w:tr>
      <w:tr w:rsidR="000B69D8">
        <w:tc>
          <w:tcPr>
            <w:tcW w:w="14144" w:type="dxa"/>
            <w:gridSpan w:val="5"/>
            <w:shd w:val="clear" w:color="auto" w:fill="auto"/>
          </w:tcPr>
          <w:p w:rsidR="000B69D8" w:rsidRDefault="00822CC3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FALE I OPTYKA</w:t>
            </w:r>
          </w:p>
        </w:tc>
      </w:tr>
      <w:tr w:rsidR="000B69D8">
        <w:trPr>
          <w:trHeight w:val="3685"/>
        </w:trPr>
        <w:tc>
          <w:tcPr>
            <w:tcW w:w="2828" w:type="dxa"/>
            <w:shd w:val="clear" w:color="auto" w:fill="auto"/>
          </w:tcPr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opisuje mechanizm rozchodzenia się fali mechanicznej,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rozróżnia fale płaskie i kołowe,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rozróżnia fale poprzeczne i podłużne.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definicje okresu oraz amplitudy drgań,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podaje definicje długości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oraz prędkości fali.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źródła dźwięków, podaje ich przykłady,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dźwięk jako falę podłużną.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zmiany częstotliwości dźwięku wywołane ruchem źródła dźwięku.</w:t>
            </w:r>
          </w:p>
          <w:p w:rsidR="000B69D8" w:rsidRDefault="00822CC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243" w:hanging="193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definicję dyfrakcji fal,</w:t>
            </w:r>
          </w:p>
          <w:p w:rsidR="000B69D8" w:rsidRDefault="00822CC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243" w:hanging="193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wynik nakładania się fal.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podaje definicję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interferencji fal.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określa światło jako falę elektromagnetyczną,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wymienia różne rodzaje fal elektromagnetycznych.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zjawisko odbicia,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formułuje prawo odbicia.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zjawisko załamania,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definiuje współczynnik załamania ośrodka,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formułuje prawo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załamania.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 xml:space="preserve">podaje definicję kąta granicznego, </w:t>
            </w:r>
          </w:p>
          <w:p w:rsidR="000B69D8" w:rsidRDefault="00822CC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zjawisko całkowitego wewnętrznego odbicia.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jakościowo rozproszenie światła w atmosferze prowadzące do powstania niebieskiego koloru nieba i czerwonego koloru zachodzącego słońca.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opisuje zależn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ość między częstotliwością drgań źródła fali a częstotliwością fali w ośrodku.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oblicza częstotliwość fali na podstawie znajomości jej okresu,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odczytuje amplitudę oraz długość fali z obrazu fali.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cechy dźwięku,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przedstawia obraz oscyloskopowy fali a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kustycznej.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zmiany częstotliwości dźwięku wywołane ruchem odbiornika.</w:t>
            </w:r>
          </w:p>
          <w:p w:rsidR="000B69D8" w:rsidRDefault="00822CC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253" w:hanging="183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przykłady dyfrakcji fal,</w:t>
            </w:r>
          </w:p>
          <w:p w:rsidR="000B69D8" w:rsidRDefault="00822CC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253" w:hanging="183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stosuje zasadę superpozycji do wyjaśnienia mechanizmu nakładania się fal, </w:t>
            </w:r>
          </w:p>
          <w:p w:rsidR="000B69D8" w:rsidRDefault="00822CC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253" w:hanging="183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zjawisko rozpraszania fal mechanicznych.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mechanizm pow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stawania interferencji fal z dwóch źródeł,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falę stojącą.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doświadczenie Younga jako potwierdzenie falowej natury światła,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zakres długości fali dla światła oraz wartość prędkości światła w próżni,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 xml:space="preserve">demonstruje polaryzację światła w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wyniku przejścia przez polaryzatory.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konstruuje obraz w zwierciadle płaskim,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cechy obrazu w zwierciadle płaskim.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zmianę długości fali po przejściu do innego ośrodka.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zasadę działania światłowodu.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opisuje, w jaki sposób powstaje tęcza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różnice między tęczą a halo.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opisuje sposób rozchodzenia się fali podłużnej w ośrodku.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do obliczeń zależność między długością, częstotliwością oraz prędkością fali.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omawia wielkości opisujące dźwięki,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 xml:space="preserve">określa </w:t>
            </w:r>
            <w:r>
              <w:rPr>
                <w:rFonts w:ascii="AgendaPl-RegularCondensed" w:eastAsia="Times New Roman" w:hAnsi="AgendaPl-RegularCondensed" w:cs="Times New Roman"/>
                <w:color w:val="242021"/>
                <w:kern w:val="2"/>
                <w:sz w:val="20"/>
                <w:szCs w:val="20"/>
                <w:lang w:eastAsia="zh-CN" w:bidi="hi-IN"/>
              </w:rPr>
              <w:t>poziom natężenia dźwięku w w</w:t>
            </w:r>
            <w:r>
              <w:rPr>
                <w:rFonts w:ascii="AgendaPl-RegularCondensed" w:eastAsia="Times New Roman" w:hAnsi="AgendaPl-RegularCondensed" w:cs="Times New Roman"/>
                <w:color w:val="242021"/>
                <w:kern w:val="2"/>
                <w:sz w:val="20"/>
                <w:szCs w:val="20"/>
                <w:lang w:eastAsia="zh-CN" w:bidi="hi-IN"/>
              </w:rPr>
              <w:t>ybranych sytuacjach.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wzór na zmianę częstotliwości wywołany efektem Dopplera do obliczeń.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projektuje doświadczenie ilustrujące zjawisko dyfrakcji fal mechanicznych na szczelinie.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mechanizm powstawania fali stojącej.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do obliczeń zal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eżność między prędkością światła, długością oraz częstotliwością fali,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mechanizm rozpraszania światła.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zjawisko polaryzacji przez odbicie.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prawo załamania do opisu zjawisk optycznych.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poznane zjawiska do rozwiązywania typow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ych zadań i problemów.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wyjaśnia mechanizm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powstawania miraży.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opisuje fale rozchodzące się w wodzie.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wyjaśnia, czym różni się głośność od poziomu natężenia dźwięku.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projektuje doświadczenie ilustrujące zjawisko nakładania się fal mechanicznych.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wiąże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zjawisko odbicia z interferencją.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bieg światła w ośrodku niejednorodnym.</w:t>
            </w:r>
          </w:p>
          <w:p w:rsidR="000B69D8" w:rsidRDefault="00822CC3">
            <w:pPr>
              <w:widowControl w:val="0"/>
              <w:suppressAutoHyphens/>
              <w:spacing w:after="0" w:line="240" w:lineRule="auto"/>
              <w:ind w:left="227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.</w:t>
            </w:r>
          </w:p>
          <w:p w:rsidR="000B69D8" w:rsidRDefault="000B69D8">
            <w:pPr>
              <w:widowControl w:val="0"/>
              <w:suppressAutoHyphens/>
              <w:ind w:left="227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poznaną wiedzę w sytuacjach nietypowych.</w:t>
            </w:r>
          </w:p>
          <w:p w:rsidR="000B69D8" w:rsidRDefault="00822CC3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 samodzielnie wyszukuje przykłady zjawisk optycznych w atmosferze i je wyjaśnia</w:t>
            </w:r>
          </w:p>
          <w:p w:rsidR="000B69D8" w:rsidRDefault="000B69D8">
            <w:pPr>
              <w:pStyle w:val="Akapitzlist"/>
              <w:tabs>
                <w:tab w:val="center" w:pos="7002"/>
                <w:tab w:val="left" w:pos="8520"/>
              </w:tabs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8">
        <w:tc>
          <w:tcPr>
            <w:tcW w:w="14144" w:type="dxa"/>
            <w:gridSpan w:val="5"/>
            <w:shd w:val="clear" w:color="auto" w:fill="auto"/>
          </w:tcPr>
          <w:p w:rsidR="000B69D8" w:rsidRDefault="00822CC3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TERMODYNAMIKA</w:t>
            </w:r>
          </w:p>
        </w:tc>
      </w:tr>
      <w:tr w:rsidR="000B69D8">
        <w:trPr>
          <w:trHeight w:val="3260"/>
        </w:trPr>
        <w:tc>
          <w:tcPr>
            <w:tcW w:w="2828" w:type="dxa"/>
            <w:shd w:val="clear" w:color="auto" w:fill="auto"/>
          </w:tcPr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opisuje cząsteczkową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budowę materii,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definicję energii wewnętrznej,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definicję dyfuzji.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rozszerzalność objętościową cieczy i gazów,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rozszerzalność liniową ciał stałych.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wymienia trzy rodzaje przekazu ciepła między ciałami,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zastosowanie mate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riałów izolacyjnych.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formułuje I zasadę termodynamiki,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odróżnia przekaz energii w postaci ciepła od przekazu energii w postaci pracy.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definicję ciepła właściwego,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zapisuje zasady bilansu cieplnego.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zjawiska topnienia i krzepnięcia,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definiuje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 ciepło topnienia.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zjawiska parowania i skraplania,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definiuje ciepło parowania,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odróżnia parowanie od wrzenia.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zapisuje zasady bilansu cieplnego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charakteryzuje rozszerzalność cieplną wody.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 xml:space="preserve">określa związek temperatury z energią kinetyczną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cząsteczek,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omawia różnice w budowie cząsteczkowej gazów, cieczy i ciał stałych,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charakter sił międzycząsteczkowych.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różnice między rozszerzalnością liniową a objętościową.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opisuje różnice między trzema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softHyphen/>
              <w:t>rodzajami przekazu ciepła między ci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ałami,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pojęcie stanu równowagi termodynamicznej.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stosuje I zasadę termodynamiki do rozwiązywania typowych problemów i zjawisk z otaczającego świata.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bilans cieplny w typowych przypadkach.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wykorzystuje ciepło topnienia w prostych obliczeniac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h,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rozróżnia ciała krystaliczne i bezpostaciowe.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wykorzystuje ciepło parowania w prostych obliczeniach,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parowanie jako jeden ze sposobów termoregulacji organizmów.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stosuje bilans cieplny z wykorzystaniem ciepła przemiany fazowej w typowych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przypadkach,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wyjaśnia, na czym polega efekt cieplarniany.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korzysta z definicji pary nasyconej i nienasyconej.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korzysta z definicji energii wewnętrznej do wyjaśniania zjawisk z otaczającego świata.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pojęcie rozszerzalności do wyjaśniania zjawisk z ot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aczającego świata,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oblicza przyrost długości ciała dla zadanego przyrostu temperatury,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projektuje i wykonuje doświadczenia ilustrujące rozszerzalność cieplną.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projektuje i wykonuje doświadczenie ilustrujące przewodność cieplną.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opisuje jakościowo procesy b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ez wymiany ciepła z otoczeniem.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bilans cieplny do obliczeń,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odróżnia pojemność cieplną od ciepła właściwego,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ocenia realność uzyskanych wyników obliczeń.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w obliczeniach wzór na ciepło pobrane (oddane) w procesie topnienia (krzepnięcia) 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projektuje doświadczenie ilustrujące stałość temperatury podczas topnienia (krzepnięcia).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w obliczeniach wzór na ciepło pobrane w procesie parowania,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projektuje doświadczenie ilustrujące stałość temperatury podczas wrzenia.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ocenia realność uzyskany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ch wyników obliczeń,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opisuje efekt cieplarniany Ziemi.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definicję wilgotności powietrza,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zmiany temperatury wrzenia związane ze zmianami ciśnienia.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charakteryzuje ilościowo rozmiary atomów i cząsteczek.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opisuje zjawiska atmosferyczne będące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ilustracją trzech sposobów przekazu ciepła.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praktyczne przykłady zastosowania przemian adiabatycznych gazów.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odróżnia szadź od szronu,</w:t>
            </w:r>
          </w:p>
          <w:p w:rsidR="000B69D8" w:rsidRDefault="00822CC3">
            <w:pPr>
              <w:widowControl w:val="0"/>
              <w:suppressAutoHyphens/>
              <w:spacing w:after="0" w:line="240" w:lineRule="auto"/>
              <w:ind w:left="227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analizuje bilans energetyczny Ziemi.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do obliczeń wilgotność względną i bezwzględną,</w:t>
            </w:r>
          </w:p>
          <w:p w:rsidR="000B69D8" w:rsidRDefault="00822CC3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lastRenderedPageBreak/>
              <w:t>korzysta z diagramu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 xml:space="preserve"> fazowego wody w zadaniach obliczeniowych.</w:t>
            </w:r>
          </w:p>
        </w:tc>
        <w:tc>
          <w:tcPr>
            <w:tcW w:w="2829" w:type="dxa"/>
            <w:shd w:val="clear" w:color="auto" w:fill="auto"/>
          </w:tcPr>
          <w:p w:rsidR="000B69D8" w:rsidRDefault="00822CC3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stosuje poznaną wiedzę w sytuacjach nietypowych.</w:t>
            </w:r>
          </w:p>
          <w:p w:rsidR="000B69D8" w:rsidRDefault="00822CC3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rozwiązuje zadania o wyższym stopniu trudności.</w:t>
            </w:r>
          </w:p>
        </w:tc>
      </w:tr>
    </w:tbl>
    <w:p w:rsidR="000B69D8" w:rsidRDefault="000B69D8">
      <w:pPr>
        <w:tabs>
          <w:tab w:val="center" w:pos="7002"/>
          <w:tab w:val="left" w:pos="8520"/>
        </w:tabs>
      </w:pPr>
    </w:p>
    <w:sectPr w:rsidR="000B69D8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endaPl BoldCondensed">
    <w:charset w:val="EE"/>
    <w:family w:val="roman"/>
    <w:pitch w:val="variable"/>
  </w:font>
  <w:font w:name="Dutch801HdEU">
    <w:charset w:val="EE"/>
    <w:family w:val="roman"/>
    <w:pitch w:val="variable"/>
  </w:font>
  <w:font w:name="AgendaPl RegularCondensed">
    <w:charset w:val="EE"/>
    <w:family w:val="roman"/>
    <w:pitch w:val="variable"/>
  </w:font>
  <w:font w:name="Minion Pro">
    <w:altName w:val="Times New Roman"/>
    <w:charset w:val="EE"/>
    <w:family w:val="roman"/>
    <w:pitch w:val="variable"/>
  </w:font>
  <w:font w:name="Myriad Pro">
    <w:altName w:val="Times New Roman"/>
    <w:charset w:val="EE"/>
    <w:family w:val="roman"/>
    <w:pitch w:val="variable"/>
  </w:font>
  <w:font w:name="AgendaPl-RegularCondensed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1B84"/>
    <w:multiLevelType w:val="multilevel"/>
    <w:tmpl w:val="8110C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F05D0C"/>
    <w:multiLevelType w:val="multilevel"/>
    <w:tmpl w:val="AA481EF2"/>
    <w:lvl w:ilvl="0">
      <w:start w:val="1"/>
      <w:numFmt w:val="bullet"/>
      <w:lvlText w:val=""/>
      <w:lvlJc w:val="left"/>
      <w:pPr>
        <w:ind w:left="227" w:hanging="17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897832"/>
    <w:multiLevelType w:val="multilevel"/>
    <w:tmpl w:val="DC38F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9429EA"/>
    <w:multiLevelType w:val="multilevel"/>
    <w:tmpl w:val="4010337A"/>
    <w:lvl w:ilvl="0">
      <w:start w:val="1"/>
      <w:numFmt w:val="bullet"/>
      <w:lvlText w:val=""/>
      <w:lvlJc w:val="left"/>
      <w:pPr>
        <w:ind w:left="227" w:hanging="17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FB38CE"/>
    <w:multiLevelType w:val="multilevel"/>
    <w:tmpl w:val="084EEBCA"/>
    <w:lvl w:ilvl="0">
      <w:start w:val="1"/>
      <w:numFmt w:val="bullet"/>
      <w:lvlText w:val=""/>
      <w:lvlJc w:val="left"/>
      <w:pPr>
        <w:ind w:left="227" w:hanging="17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69D8"/>
    <w:rsid w:val="000B69D8"/>
    <w:rsid w:val="0082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B1A86-464D-40AA-94A9-CF2EAD59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80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qFormat/>
    <w:rsid w:val="00C81DE9"/>
    <w:rPr>
      <w:b/>
      <w:bCs/>
    </w:rPr>
  </w:style>
  <w:style w:type="character" w:customStyle="1" w:styleId="RegCondItaliczmienna">
    <w:name w:val="RegCondItalic zmienna"/>
    <w:uiPriority w:val="99"/>
    <w:qFormat/>
    <w:rsid w:val="00C81DE9"/>
    <w:rPr>
      <w:i/>
      <w:iCs/>
    </w:rPr>
  </w:style>
  <w:style w:type="character" w:customStyle="1" w:styleId="RegCondItalic">
    <w:name w:val="RegCondItalic"/>
    <w:uiPriority w:val="99"/>
    <w:qFormat/>
    <w:rsid w:val="00C81DE9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4C0"/>
  </w:style>
  <w:style w:type="character" w:customStyle="1" w:styleId="StopkaZnak">
    <w:name w:val="Stopka Znak"/>
    <w:basedOn w:val="Domylnaczcionkaakapitu"/>
    <w:link w:val="Stopka"/>
    <w:uiPriority w:val="99"/>
    <w:qFormat/>
    <w:rsid w:val="00B714C0"/>
  </w:style>
  <w:style w:type="character" w:customStyle="1" w:styleId="Italic">
    <w:name w:val="Italic"/>
    <w:uiPriority w:val="99"/>
    <w:qFormat/>
    <w:rsid w:val="00B714C0"/>
    <w:rPr>
      <w:i/>
      <w:iCs/>
    </w:rPr>
  </w:style>
  <w:style w:type="character" w:customStyle="1" w:styleId="bezdzielenia">
    <w:name w:val="bez dzielenia"/>
    <w:uiPriority w:val="99"/>
    <w:qFormat/>
    <w:rsid w:val="00B714C0"/>
    <w:rPr>
      <w:u w:val="none"/>
    </w:rPr>
  </w:style>
  <w:style w:type="character" w:customStyle="1" w:styleId="agendapomaranczowybold">
    <w:name w:val="agenda pomaranczowy bold"/>
    <w:uiPriority w:val="99"/>
    <w:qFormat/>
    <w:rsid w:val="00B714C0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14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14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14C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B0353"/>
    <w:pPr>
      <w:spacing w:after="140"/>
    </w:pPr>
  </w:style>
  <w:style w:type="paragraph" w:styleId="Lista">
    <w:name w:val="List"/>
    <w:basedOn w:val="Tekstpodstawowy"/>
    <w:rsid w:val="005B0353"/>
    <w:rPr>
      <w:rFonts w:cs="Mangal"/>
    </w:rPr>
  </w:style>
  <w:style w:type="paragraph" w:styleId="Legenda">
    <w:name w:val="caption"/>
    <w:basedOn w:val="Normalny"/>
    <w:qFormat/>
    <w:rsid w:val="005B03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B035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5B0353"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C31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glowka">
    <w:name w:val="Tabela: glowka"/>
    <w:basedOn w:val="Normalny"/>
    <w:uiPriority w:val="99"/>
    <w:qFormat/>
    <w:rsid w:val="00CA3A12"/>
    <w:pPr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1Tekstpodstawowy">
    <w:name w:val="001 Tekst podstawowy"/>
    <w:basedOn w:val="Normalny"/>
    <w:uiPriority w:val="99"/>
    <w:qFormat/>
    <w:rsid w:val="00242F13"/>
    <w:pPr>
      <w:tabs>
        <w:tab w:val="left" w:pos="170"/>
        <w:tab w:val="left" w:pos="340"/>
        <w:tab w:val="left" w:pos="510"/>
      </w:tabs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customStyle="1" w:styleId="Scenariuszetemat">
    <w:name w:val="Scenariusze: temat"/>
    <w:basedOn w:val="Normalny"/>
    <w:next w:val="Normalny"/>
    <w:uiPriority w:val="99"/>
    <w:qFormat/>
    <w:rsid w:val="00C81DE9"/>
    <w:pPr>
      <w:tabs>
        <w:tab w:val="left" w:pos="170"/>
        <w:tab w:val="left" w:pos="340"/>
        <w:tab w:val="left" w:pos="510"/>
      </w:tabs>
      <w:spacing w:before="142"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customStyle="1" w:styleId="Tabelakomorka">
    <w:name w:val="Tabela: komorka"/>
    <w:basedOn w:val="Normalny"/>
    <w:uiPriority w:val="99"/>
    <w:qFormat/>
    <w:rsid w:val="00C81DE9"/>
    <w:pPr>
      <w:spacing w:after="0" w:line="288" w:lineRule="auto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Brakstyluakapitowego">
    <w:name w:val="[Brak stylu akapitowego]"/>
    <w:qFormat/>
    <w:rsid w:val="00C81DE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Tabelakomorka-punktykreski">
    <w:name w:val="Tabela: komorka - punkty kres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TableParagraph">
    <w:name w:val="Table Paragraph"/>
    <w:basedOn w:val="Normalny"/>
    <w:uiPriority w:val="1"/>
    <w:qFormat/>
    <w:rsid w:val="000B1EAF"/>
    <w:pPr>
      <w:widowControl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styleId="Stopka">
    <w:name w:val="footer"/>
    <w:basedOn w:val="Normalny"/>
    <w:link w:val="Stopka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cenariuszetytul">
    <w:name w:val="Scenariusze: tytul"/>
    <w:basedOn w:val="Brakstyluakapitowego"/>
    <w:uiPriority w:val="99"/>
    <w:qFormat/>
    <w:rsid w:val="00B714C0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qFormat/>
    <w:rsid w:val="00B714C0"/>
  </w:style>
  <w:style w:type="paragraph" w:customStyle="1" w:styleId="Podstawowyakapitowy">
    <w:name w:val="[Podstawowy akapitowy]"/>
    <w:basedOn w:val="Brakstyluakapitowego"/>
    <w:uiPriority w:val="99"/>
    <w:qFormat/>
    <w:rsid w:val="00B714C0"/>
    <w:pPr>
      <w:jc w:val="both"/>
    </w:pPr>
    <w:rPr>
      <w:rFonts w:ascii="Myriad Pro" w:hAnsi="Myriad Pro" w:cs="Myriad Pro"/>
      <w:lang w:val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14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14C0"/>
    <w:rPr>
      <w:b/>
      <w:bCs/>
    </w:rPr>
  </w:style>
  <w:style w:type="paragraph" w:customStyle="1" w:styleId="kropa">
    <w:name w:val="kropa"/>
    <w:basedOn w:val="Normalny"/>
    <w:qFormat/>
    <w:rsid w:val="00B714C0"/>
    <w:p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table" w:styleId="Tabela-Siatka">
    <w:name w:val="Table Grid"/>
    <w:basedOn w:val="Standardowy"/>
    <w:uiPriority w:val="59"/>
    <w:rsid w:val="008F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CFAD-A495-468E-BFD9-3DE4D1C7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1289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Elżbieta</dc:creator>
  <dc:description/>
  <cp:lastModifiedBy>ELżbieta Kurowska</cp:lastModifiedBy>
  <cp:revision>8</cp:revision>
  <cp:lastPrinted>2021-08-24T10:54:00Z</cp:lastPrinted>
  <dcterms:created xsi:type="dcterms:W3CDTF">2021-09-26T20:58:00Z</dcterms:created>
  <dcterms:modified xsi:type="dcterms:W3CDTF">2025-09-02T20:13:00Z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