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>JĘZYKA NIEMIECKIEGO DLA KLASY 2H2(2)</w:t>
      </w:r>
      <w:r>
        <w:rPr>
          <w:rFonts w:ascii="Times New Roman" w:hAnsi="Times New Roman"/>
          <w:b/>
        </w:rPr>
        <w:t xml:space="preserve"> NIEZBĘDNE DO UZYSKANIA PRZEZ UCZNIA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NAUCZANIA- </w:t>
      </w:r>
      <w:r>
        <w:rPr>
          <w:rFonts w:ascii="Times New Roman" w:hAnsi="Times New Roman"/>
          <w:b/>
          <w:sz w:val="24"/>
          <w:szCs w:val="24"/>
        </w:rPr>
        <w:t>ZAKRES PODSTAWOWY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2024/2025</w:t>
      </w:r>
    </w:p>
    <w:tbl>
      <w:tblPr>
        <w:tblW w:w="14687" w:type="dxa"/>
        <w:jc w:val="left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558"/>
        <w:gridCol w:w="2805"/>
        <w:gridCol w:w="2777"/>
        <w:gridCol w:w="3011"/>
        <w:gridCol w:w="2550"/>
        <w:gridCol w:w="1985"/>
      </w:tblGrid>
      <w:tr>
        <w:trPr/>
        <w:tc>
          <w:tcPr>
            <w:tcW w:w="14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2H2(2)</w:t>
            </w:r>
          </w:p>
        </w:tc>
      </w:tr>
      <w:tr>
        <w:trPr/>
        <w:tc>
          <w:tcPr>
            <w:tcW w:w="14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b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Verdana" w:hAnsi="Verdana"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b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Verdana" w:hAnsi="Verdana"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b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Verdana" w:hAnsi="Verdana"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b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>
                <w:rFonts w:ascii="Verdana" w:hAnsi="Verdana"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b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0CECE" w:themeFill="background2" w:themeFillShade="e6" w:val="clear"/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>
        <w:trPr/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/>
            </w:pPr>
            <w:r>
              <w:rPr>
                <w:rFonts w:eastAsia="Times New Roman" w:ascii="Verdana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br/>
              <w:t>znajomość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środków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językowych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</w:r>
          </w:p>
          <w:p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Leksyka</w:t>
            </w:r>
          </w:p>
          <w:p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</w:r>
          </w:p>
          <w:p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</w:r>
          </w:p>
          <w:p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</w:r>
          </w:p>
          <w:p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</w:r>
          </w:p>
          <w:p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</w:r>
          </w:p>
          <w:p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</w:r>
          </w:p>
          <w:p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</w:r>
          </w:p>
          <w:p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</w:r>
          </w:p>
          <w:p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</w:r>
          </w:p>
          <w:p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</w:r>
          </w:p>
          <w:p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</w:r>
          </w:p>
          <w:p>
            <w:pPr>
              <w:pStyle w:val="Zawartotabeli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Gramatyka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Uczeń: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/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Uczeń: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/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Uczeń: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/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Uczeń: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/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eastAsia="Times New Roman" w:ascii="Verdana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iCs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iCs/>
                <w:sz w:val="16"/>
                <w:szCs w:val="16"/>
                <w:lang w:eastAsia="ar-SA"/>
              </w:rPr>
              <w:t>Uczeń: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iCs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iCs/>
                <w:sz w:val="16"/>
                <w:szCs w:val="16"/>
                <w:lang w:eastAsia="ar-SA"/>
              </w:rPr>
              <w:t>w wysokim stopniu opanował wiedzę i umiejętności określone programem nauczania*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iCs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iCs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i/>
                <w:i/>
                <w:iCs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i/>
                <w:iCs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iCs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iCs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iCs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iCs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iCs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iCs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iCs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iCs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iCs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iCs/>
                <w:sz w:val="16"/>
                <w:szCs w:val="16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Verdana" w:hAnsi="Verdana" w:eastAsia="Times New Roman"/>
                <w:iCs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</w:r>
          </w:p>
        </w:tc>
      </w:tr>
      <w:tr>
        <w:trPr>
          <w:trHeight w:val="1107" w:hRule="atLeast"/>
        </w:trPr>
        <w:tc>
          <w:tcPr>
            <w:tcW w:w="155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Uczeń: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Uczeń: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Uczeń: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Uczeń: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55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14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Nazwy świąt i uroczystości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Nazwy prezentów</w:t>
            </w:r>
          </w:p>
          <w:p>
            <w:pPr>
              <w:pStyle w:val="Zawartotabeli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425" w:left="745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Nazwy środków transportu</w:t>
            </w:r>
          </w:p>
          <w:p>
            <w:pPr>
              <w:pStyle w:val="Zawartotabeli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425" w:left="745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Nazwy miejsc w mieście</w:t>
            </w:r>
          </w:p>
          <w:p>
            <w:pPr>
              <w:pStyle w:val="Zawartotabeli"/>
              <w:numPr>
                <w:ilvl w:val="0"/>
                <w:numId w:val="2"/>
              </w:numPr>
              <w:tabs>
                <w:tab w:val="clear" w:pos="708"/>
              </w:tabs>
              <w:snapToGrid w:val="false"/>
              <w:spacing w:lineRule="auto" w:line="240" w:before="0" w:after="0"/>
              <w:ind w:hanging="425" w:left="745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Słownictwo służące do opisu drogi</w:t>
            </w:r>
          </w:p>
          <w:p>
            <w:pPr>
              <w:pStyle w:val="Zawartotabeli"/>
              <w:numPr>
                <w:ilvl w:val="0"/>
                <w:numId w:val="2"/>
              </w:numPr>
              <w:tabs>
                <w:tab w:val="clear" w:pos="708"/>
              </w:tabs>
              <w:snapToGrid w:val="false"/>
              <w:spacing w:lineRule="auto" w:line="240" w:before="0" w:after="0"/>
              <w:ind w:hanging="425" w:left="745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Zjawiska atmosferyczne</w:t>
            </w:r>
          </w:p>
          <w:p>
            <w:pPr>
              <w:pStyle w:val="Zawartotabeli"/>
              <w:numPr>
                <w:ilvl w:val="0"/>
                <w:numId w:val="2"/>
              </w:numPr>
              <w:tabs>
                <w:tab w:val="clear" w:pos="708"/>
              </w:tabs>
              <w:snapToGrid w:val="false"/>
              <w:spacing w:lineRule="auto" w:line="240" w:before="0" w:after="0"/>
              <w:ind w:hanging="425" w:left="745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Pory roku</w:t>
            </w:r>
          </w:p>
          <w:p>
            <w:pPr>
              <w:pStyle w:val="Zawartotabeli"/>
              <w:numPr>
                <w:ilvl w:val="0"/>
                <w:numId w:val="2"/>
              </w:numPr>
              <w:tabs>
                <w:tab w:val="clear" w:pos="708"/>
              </w:tabs>
              <w:snapToGrid w:val="false"/>
              <w:spacing w:lineRule="auto" w:line="240" w:before="0" w:after="0"/>
              <w:ind w:hanging="425" w:left="745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Elementy krajobrazu</w:t>
            </w:r>
          </w:p>
          <w:p>
            <w:pPr>
              <w:pStyle w:val="Zawartotabeli"/>
              <w:numPr>
                <w:ilvl w:val="0"/>
                <w:numId w:val="3"/>
              </w:numPr>
              <w:tabs>
                <w:tab w:val="clear" w:pos="708"/>
                <w:tab w:val="left" w:pos="486" w:leader="none"/>
              </w:tabs>
              <w:snapToGrid w:val="false"/>
              <w:spacing w:lineRule="auto" w:line="240" w:before="0" w:after="0"/>
              <w:ind w:hanging="425" w:left="745"/>
              <w:rPr>
                <w:rFonts w:ascii="Verdana" w:hAnsi="Verdana" w:eastAsia="Verdana" w:cs="Verdana"/>
                <w:b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Infrastruktura turystyczna</w:t>
            </w:r>
          </w:p>
          <w:p>
            <w:pPr>
              <w:pStyle w:val="Zawartotabeli"/>
              <w:numPr>
                <w:ilvl w:val="0"/>
                <w:numId w:val="3"/>
              </w:numPr>
              <w:tabs>
                <w:tab w:val="clear" w:pos="708"/>
                <w:tab w:val="left" w:pos="486" w:leader="none"/>
              </w:tabs>
              <w:snapToGrid w:val="false"/>
              <w:spacing w:lineRule="auto" w:line="240" w:before="0" w:after="0"/>
              <w:ind w:hanging="425" w:left="745"/>
              <w:rPr>
                <w:rFonts w:ascii="Verdana" w:hAnsi="Verdana" w:eastAsia="Verdana" w:cs="Verdana"/>
                <w:b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 xml:space="preserve">   </w:t>
            </w: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Nazwy aktywności podczas wakacji</w:t>
            </w:r>
          </w:p>
          <w:p>
            <w:pPr>
              <w:pStyle w:val="Zawartotabeli"/>
              <w:numPr>
                <w:ilvl w:val="0"/>
                <w:numId w:val="4"/>
              </w:numPr>
              <w:snapToGrid w:val="false"/>
              <w:spacing w:lineRule="auto" w:line="240" w:before="0" w:after="0"/>
              <w:ind w:hanging="24" w:left="344"/>
              <w:rPr>
                <w:rFonts w:ascii="Verdana" w:hAnsi="Verdana" w:eastAsia="Verdana" w:cs="Verdana"/>
                <w:b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Nazwy ubrań i kolorów</w:t>
            </w:r>
          </w:p>
          <w:p>
            <w:pPr>
              <w:pStyle w:val="Zawartotabeli"/>
              <w:numPr>
                <w:ilvl w:val="0"/>
                <w:numId w:val="4"/>
              </w:numPr>
              <w:snapToGrid w:val="false"/>
              <w:spacing w:lineRule="auto" w:line="240" w:before="0" w:after="0"/>
              <w:ind w:hanging="24" w:left="344"/>
              <w:rPr>
                <w:rFonts w:ascii="Verdana" w:hAnsi="Verdana" w:eastAsia="Verdana" w:cs="Verdana"/>
                <w:b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Nazwy cech charakteru</w:t>
            </w:r>
          </w:p>
          <w:p>
            <w:pPr>
              <w:pStyle w:val="Zawartotabeli"/>
              <w:numPr>
                <w:ilvl w:val="0"/>
                <w:numId w:val="4"/>
              </w:numPr>
              <w:snapToGrid w:val="false"/>
              <w:spacing w:lineRule="auto" w:line="240" w:before="0" w:after="0"/>
              <w:ind w:hanging="24" w:left="344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Słownictwo służące do opisu wyglądu zewnętrznego</w:t>
            </w:r>
          </w:p>
          <w:p>
            <w:pPr>
              <w:pStyle w:val="Zawartotabeli"/>
              <w:numPr>
                <w:ilvl w:val="0"/>
                <w:numId w:val="5"/>
              </w:numPr>
              <w:snapToGrid w:val="false"/>
              <w:spacing w:lineRule="auto" w:line="240" w:before="0" w:after="0"/>
              <w:ind w:hanging="24" w:left="344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Nazwy artykułów spożywczych</w:t>
            </w:r>
          </w:p>
          <w:p>
            <w:pPr>
              <w:pStyle w:val="Zawartotabeli"/>
              <w:numPr>
                <w:ilvl w:val="0"/>
                <w:numId w:val="5"/>
              </w:numPr>
              <w:snapToGrid w:val="false"/>
              <w:spacing w:lineRule="auto" w:line="240" w:before="0" w:after="0"/>
              <w:ind w:hanging="24" w:left="344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Określenia miary i wagi</w:t>
            </w:r>
          </w:p>
          <w:p>
            <w:pPr>
              <w:pStyle w:val="Zawartotabeli"/>
              <w:numPr>
                <w:ilvl w:val="0"/>
                <w:numId w:val="5"/>
              </w:numPr>
              <w:snapToGrid w:val="false"/>
              <w:spacing w:lineRule="auto" w:line="240" w:before="0" w:after="0"/>
              <w:ind w:hanging="24" w:left="344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Nazwy sklepów</w:t>
            </w:r>
          </w:p>
          <w:p>
            <w:pPr>
              <w:pStyle w:val="Zawartotabeli"/>
              <w:numPr>
                <w:ilvl w:val="0"/>
                <w:numId w:val="5"/>
              </w:numPr>
              <w:snapToGrid w:val="false"/>
              <w:spacing w:lineRule="auto" w:line="240" w:before="0" w:after="0"/>
              <w:ind w:hanging="24" w:left="344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Nazwy czynności w kuchni</w:t>
            </w:r>
          </w:p>
          <w:p>
            <w:pPr>
              <w:pStyle w:val="Zawartotabeli"/>
              <w:numPr>
                <w:ilvl w:val="0"/>
                <w:numId w:val="5"/>
              </w:numPr>
              <w:snapToGrid w:val="false"/>
              <w:spacing w:lineRule="auto" w:line="240" w:before="0" w:after="0"/>
              <w:ind w:hanging="24" w:left="344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Rodzaje lokali gastronomicznych</w:t>
            </w:r>
          </w:p>
          <w:p>
            <w:pPr>
              <w:pStyle w:val="Zawartotabeli"/>
              <w:numPr>
                <w:ilvl w:val="0"/>
                <w:numId w:val="5"/>
              </w:numPr>
              <w:snapToGrid w:val="false"/>
              <w:spacing w:lineRule="auto" w:line="240" w:before="0" w:after="0"/>
              <w:ind w:hanging="24" w:left="344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Nazwy smaków potraw</w:t>
            </w:r>
          </w:p>
          <w:p>
            <w:pPr>
              <w:pStyle w:val="BodyText"/>
              <w:numPr>
                <w:ilvl w:val="0"/>
                <w:numId w:val="5"/>
              </w:numPr>
              <w:snapToGrid w:val="false"/>
              <w:spacing w:lineRule="auto" w:line="240" w:before="0" w:after="0"/>
              <w:ind w:hanging="24" w:left="344"/>
              <w:rPr>
                <w:rFonts w:ascii="Verdana" w:hAnsi="Verdana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Typowe aktywności w różnych okresach życia</w:t>
            </w:r>
          </w:p>
          <w:p>
            <w:pPr>
              <w:pStyle w:val="BodyText"/>
              <w:numPr>
                <w:ilvl w:val="0"/>
                <w:numId w:val="5"/>
              </w:numPr>
              <w:snapToGrid w:val="false"/>
              <w:spacing w:lineRule="auto" w:line="240" w:before="0" w:after="0"/>
              <w:ind w:hanging="24" w:left="344"/>
              <w:rPr>
                <w:rFonts w:ascii="Verdana" w:hAnsi="Verdana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Modele rodzin Poszukiwanie mieszkania</w:t>
            </w:r>
          </w:p>
          <w:p>
            <w:pPr>
              <w:pStyle w:val="BodyText"/>
              <w:numPr>
                <w:ilvl w:val="0"/>
                <w:numId w:val="5"/>
              </w:numPr>
              <w:snapToGrid w:val="false"/>
              <w:spacing w:lineRule="auto" w:line="240" w:before="0" w:after="0"/>
              <w:ind w:hanging="24" w:left="344"/>
              <w:rPr/>
            </w:pPr>
            <w:r>
              <w:rPr>
                <w:rFonts w:ascii="Verdana" w:hAnsi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Typy domów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Przyimki miejsca z biernikiem i celownikiem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de-DE"/>
              </w:rPr>
              <w:t>Czasowniki modalne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Liczebniki porządkowe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Rzeczownik w celowniku w odpowiedzi na pytanie: komu?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Zaimki osobowe w celowniku w liczbie pojedynczej i mnogiej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Przyimki z biernikiem oraz przyimki z celownikiem</w:t>
            </w:r>
          </w:p>
          <w:p>
            <w:pPr>
              <w:pStyle w:val="Zawartotabeli"/>
              <w:numPr>
                <w:ilvl w:val="0"/>
                <w:numId w:val="2"/>
              </w:numPr>
              <w:tabs>
                <w:tab w:val="clear" w:pos="708"/>
              </w:tabs>
              <w:snapToGrid w:val="false"/>
              <w:spacing w:lineRule="auto" w:line="240" w:before="0" w:after="0"/>
              <w:ind w:hanging="24" w:left="344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Stopniowanie przymiotników i przysłówków</w:t>
            </w:r>
          </w:p>
          <w:p>
            <w:pPr>
              <w:pStyle w:val="Zawartotabeli"/>
              <w:numPr>
                <w:ilvl w:val="0"/>
                <w:numId w:val="2"/>
              </w:numPr>
              <w:tabs>
                <w:tab w:val="clear" w:pos="708"/>
              </w:tabs>
              <w:snapToGrid w:val="false"/>
              <w:spacing w:lineRule="auto" w:line="240" w:before="0" w:after="0"/>
              <w:ind w:hanging="24" w:left="344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Tryb rozkazujący</w:t>
            </w:r>
          </w:p>
          <w:p>
            <w:pPr>
              <w:pStyle w:val="Zawartotabeli"/>
              <w:numPr>
                <w:ilvl w:val="0"/>
                <w:numId w:val="3"/>
              </w:numPr>
              <w:tabs>
                <w:tab w:val="clear" w:pos="708"/>
                <w:tab w:val="left" w:pos="486" w:leader="none"/>
              </w:tabs>
              <w:snapToGrid w:val="false"/>
              <w:spacing w:lineRule="auto" w:line="240" w:before="0" w:after="0"/>
              <w:ind w:hanging="24" w:left="344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   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Czasowniki </w:t>
            </w:r>
            <w:r>
              <w:rPr>
                <w:rFonts w:eastAsia="Verdana" w:cs="Verdana" w:ascii="Verdana" w:hAnsi="Verdana"/>
                <w:i/>
                <w:sz w:val="16"/>
                <w:szCs w:val="16"/>
              </w:rPr>
              <w:t>sein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i </w:t>
            </w:r>
            <w:r>
              <w:rPr>
                <w:rFonts w:eastAsia="Verdana" w:cs="Verdana" w:ascii="Verdana" w:hAnsi="Verdana"/>
                <w:i/>
                <w:sz w:val="16"/>
                <w:szCs w:val="16"/>
              </w:rPr>
              <w:t xml:space="preserve">haben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oraz czasowniki modalne w czasie przeszłym </w:t>
            </w:r>
            <w:r>
              <w:rPr>
                <w:rFonts w:eastAsia="Verdana" w:cs="Verdana" w:ascii="Verdana" w:hAnsi="Verdana"/>
                <w:i/>
                <w:sz w:val="16"/>
                <w:szCs w:val="16"/>
              </w:rPr>
              <w:t>Präteritum</w:t>
            </w:r>
          </w:p>
          <w:p>
            <w:pPr>
              <w:pStyle w:val="Zawartotabeli"/>
              <w:numPr>
                <w:ilvl w:val="0"/>
                <w:numId w:val="3"/>
              </w:numPr>
              <w:tabs>
                <w:tab w:val="clear" w:pos="708"/>
                <w:tab w:val="left" w:pos="486" w:leader="none"/>
              </w:tabs>
              <w:snapToGrid w:val="false"/>
              <w:spacing w:lineRule="auto" w:line="240" w:before="0" w:after="0"/>
              <w:ind w:hanging="24" w:left="344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   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Czas przeszły </w:t>
            </w:r>
            <w:r>
              <w:rPr>
                <w:rFonts w:eastAsia="Verdana" w:cs="Verdana" w:ascii="Verdana" w:hAnsi="Verdana"/>
                <w:i/>
                <w:sz w:val="16"/>
                <w:szCs w:val="16"/>
              </w:rPr>
              <w:t>Perfekt</w:t>
            </w:r>
          </w:p>
          <w:p>
            <w:pPr>
              <w:pStyle w:val="Zawartotabeli"/>
              <w:numPr>
                <w:ilvl w:val="0"/>
                <w:numId w:val="4"/>
              </w:numPr>
              <w:snapToGrid w:val="false"/>
              <w:spacing w:lineRule="auto" w:line="240" w:before="0" w:after="0"/>
              <w:ind w:hanging="24" w:left="344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Odmiana przymiotników po rodzajniku określonym</w:t>
            </w:r>
          </w:p>
          <w:p>
            <w:pPr>
              <w:pStyle w:val="Zawartotabeli"/>
              <w:numPr>
                <w:ilvl w:val="0"/>
                <w:numId w:val="4"/>
              </w:numPr>
              <w:snapToGrid w:val="false"/>
              <w:spacing w:lineRule="auto" w:line="240" w:before="0" w:after="0"/>
              <w:ind w:hanging="24" w:left="344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Odmiana przymiotników po rodzajniku nieokreślonym</w:t>
            </w:r>
          </w:p>
          <w:p>
            <w:pPr>
              <w:pStyle w:val="Zawartotabeli"/>
              <w:numPr>
                <w:ilvl w:val="0"/>
                <w:numId w:val="4"/>
              </w:numPr>
              <w:snapToGrid w:val="false"/>
              <w:spacing w:lineRule="auto" w:line="240" w:before="0" w:after="0"/>
              <w:ind w:hanging="24" w:left="344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Odmiana przymiotników po zaimkach dzierżawczych</w:t>
            </w:r>
          </w:p>
          <w:p>
            <w:pPr>
              <w:pStyle w:val="Zawartotabeli"/>
              <w:numPr>
                <w:ilvl w:val="0"/>
                <w:numId w:val="4"/>
              </w:numPr>
              <w:snapToGrid w:val="false"/>
              <w:spacing w:lineRule="auto" w:line="240" w:before="0" w:after="0"/>
              <w:ind w:hanging="24" w:left="344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Odmiana przymiotników po przeczeniu </w:t>
            </w:r>
            <w:r>
              <w:rPr>
                <w:rFonts w:eastAsia="Verdana" w:cs="Verdana" w:ascii="Verdana" w:hAnsi="Verdana"/>
                <w:i/>
                <w:sz w:val="16"/>
                <w:szCs w:val="16"/>
              </w:rPr>
              <w:t>kein</w:t>
            </w:r>
          </w:p>
          <w:p>
            <w:pPr>
              <w:pStyle w:val="Zawartotabeli"/>
              <w:numPr>
                <w:ilvl w:val="0"/>
                <w:numId w:val="5"/>
              </w:numPr>
              <w:snapToGrid w:val="false"/>
              <w:spacing w:lineRule="auto" w:line="240" w:before="0" w:after="0"/>
              <w:ind w:hanging="24" w:left="344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Odmiana przymiotników bez rodzajnika</w:t>
            </w:r>
          </w:p>
          <w:p>
            <w:pPr>
              <w:pStyle w:val="Zawartotabeli"/>
              <w:numPr>
                <w:ilvl w:val="0"/>
                <w:numId w:val="5"/>
              </w:numPr>
              <w:snapToGrid w:val="false"/>
              <w:spacing w:lineRule="auto" w:line="240" w:before="0" w:after="0"/>
              <w:ind w:hanging="24" w:left="344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Strona bierna czasowników (</w:t>
            </w:r>
            <w:r>
              <w:rPr>
                <w:rFonts w:eastAsia="Verdana" w:cs="Verdana" w:ascii="Verdana" w:hAnsi="Verdana"/>
                <w:i/>
                <w:sz w:val="16"/>
                <w:szCs w:val="16"/>
              </w:rPr>
              <w:t>Passiv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)</w:t>
            </w:r>
          </w:p>
          <w:p>
            <w:pPr>
              <w:pStyle w:val="Zawartotabeli"/>
              <w:numPr>
                <w:ilvl w:val="0"/>
                <w:numId w:val="5"/>
              </w:numPr>
              <w:snapToGrid w:val="false"/>
              <w:spacing w:lineRule="auto" w:line="240" w:before="0" w:after="0"/>
              <w:ind w:hanging="24" w:left="344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zdania podrzedne dopełnieniowe z dass i weil</w:t>
            </w:r>
          </w:p>
          <w:p>
            <w:pPr>
              <w:pStyle w:val="Zawartotabeli"/>
              <w:numPr>
                <w:ilvl w:val="0"/>
                <w:numId w:val="5"/>
              </w:numPr>
              <w:snapToGrid w:val="false"/>
              <w:spacing w:lineRule="auto" w:line="240" w:before="0" w:after="0"/>
              <w:ind w:hanging="24" w:left="344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ar-SA"/>
              </w:rPr>
              <w:t>Rzeczowniki utworzone od przymiotników</w:t>
            </w:r>
          </w:p>
          <w:p>
            <w:pPr>
              <w:pStyle w:val="Zawartotabeli"/>
              <w:numPr>
                <w:ilvl w:val="0"/>
                <w:numId w:val="5"/>
              </w:numPr>
              <w:snapToGrid w:val="false"/>
              <w:spacing w:lineRule="auto" w:line="240" w:before="0" w:after="0"/>
              <w:ind w:hanging="24" w:left="344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ar-SA"/>
              </w:rPr>
              <w:t>Konstrukcje bezokolicznikowe z zu</w:t>
            </w:r>
          </w:p>
          <w:p>
            <w:pPr>
              <w:pStyle w:val="Zawartotabeli"/>
              <w:numPr>
                <w:ilvl w:val="0"/>
                <w:numId w:val="5"/>
              </w:numPr>
              <w:snapToGrid w:val="false"/>
              <w:spacing w:lineRule="auto" w:line="240" w:before="0" w:after="0"/>
              <w:ind w:hanging="24" w:left="344"/>
              <w:rPr>
                <w:rFonts w:ascii="Verdana" w:hAnsi="Verdana" w:eastAsia="Verdana" w:cs="Verdana"/>
                <w:b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eastAsia="ar-SA"/>
              </w:rPr>
              <w:t>Zdania pytające zależne i podrzędnie złożone ze spójnikiem ob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b/>
                <w:bCs/>
                <w:sz w:val="16"/>
                <w:szCs w:val="16"/>
                <w:lang w:eastAsia="ar-SA"/>
              </w:rPr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Uczeń: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/>
            </w:pPr>
            <w:r>
              <w:rPr>
                <w:rFonts w:eastAsia="Verdana" w:cs="Verdana" w:ascii="Verdana" w:hAnsi="Verdana"/>
                <w:sz w:val="16"/>
                <w:szCs w:val="16"/>
                <w:lang w:eastAsia="ar-SA"/>
              </w:rPr>
              <w:t xml:space="preserve">rozumie w tekście pisanym pojedyncze słowa: łatwe, krótkie, pospolite (np. </w:t>
            </w:r>
            <w:r>
              <w:rPr>
                <w:rFonts w:eastAsia="Verdana" w:cs="Verdana" w:ascii="Verdana" w:hAnsi="Verdana"/>
                <w:i/>
                <w:sz w:val="16"/>
                <w:szCs w:val="16"/>
                <w:lang w:eastAsia="ar-SA"/>
              </w:rPr>
              <w:t>super, interessant</w:t>
            </w:r>
            <w:r>
              <w:rPr>
                <w:rFonts w:eastAsia="Verdana" w:cs="Verdana" w:ascii="Verdana" w:hAnsi="Verdana"/>
                <w:sz w:val="16"/>
                <w:szCs w:val="16"/>
                <w:lang w:eastAsia="ar-SA"/>
              </w:rPr>
              <w:t>), internacjonalizmy. Częściowo poprawnie rozwiązuje zadania na czytanie.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Uczeń: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Verdana" w:cs="Verdana"/>
                <w:sz w:val="16"/>
                <w:szCs w:val="16"/>
                <w:lang w:eastAsia="ar-SA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eastAsia="ar-SA"/>
              </w:rPr>
              <w:t>rozumie w tekstach pisanych 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Uczeń: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Verdana" w:cs="Verdana"/>
                <w:sz w:val="16"/>
                <w:szCs w:val="16"/>
                <w:lang w:eastAsia="ar-SA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eastAsia="ar-SA"/>
              </w:rPr>
              <w:t>rozumie większość tekstu i komunikatów słownych na bazie poznanego słownictwa.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Verdana" w:cs="Verdana"/>
                <w:sz w:val="16"/>
                <w:szCs w:val="16"/>
                <w:lang w:eastAsia="ar-SA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Uczeń: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Verdana" w:cs="Verdana"/>
                <w:sz w:val="16"/>
                <w:szCs w:val="16"/>
                <w:lang w:eastAsia="ar-SA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eastAsia="ar-SA"/>
              </w:rPr>
              <w:t>rozumie szczegółowo teksty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Verdana" w:cs="Verdana"/>
                <w:sz w:val="16"/>
                <w:szCs w:val="16"/>
                <w:lang w:eastAsia="ar-SA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eastAsia="ar-SA"/>
              </w:rPr>
              <w:t>i komunikaty słowne w zakresie omawianych tematów. Poprawnie rozwiązuje zadania na czytanie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Verdana" w:cs="Verdana"/>
                <w:sz w:val="16"/>
                <w:szCs w:val="16"/>
                <w:lang w:eastAsia="ar-SA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eastAsia="ar-SA"/>
              </w:rPr>
              <w:t>i słuchanie: r/f, dobieranie.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11" w:hRule="atLeast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Uczeń: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/>
            </w:pPr>
            <w:r>
              <w:rPr>
                <w:rFonts w:eastAsia="Times New Roman" w:ascii="Verdana" w:hAnsi="Verdana"/>
                <w:sz w:val="16"/>
                <w:szCs w:val="16"/>
                <w:u w:val="single"/>
                <w:lang w:eastAsia="ar-SA"/>
              </w:rPr>
              <w:t>z pomocą</w:t>
            </w: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Uczeń: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Opowiada ustnie i pisemnie na pytania dotyczące przebiegu świąt i uroczystości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before="0" w:after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podaje </w:t>
            </w:r>
            <w:r>
              <w:rPr>
                <w:rFonts w:cs="Verdana" w:ascii="Verdana" w:hAnsi="Verdana"/>
                <w:sz w:val="16"/>
                <w:szCs w:val="16"/>
              </w:rPr>
              <w:t>datę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before="0" w:after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Określa termin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Składa (w sposób schematyczny) życzenia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Pisze pocztówkę z wakacji, mając do dyspozycji gotowe zwroty i zdania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Krótko opisuje miejsce, czas i długość pobytu, stosując podstawowe słownictwo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Dokonuje porównania dwóch rzeczy lub osób zgodnie z podanym schematem</w:t>
            </w:r>
          </w:p>
          <w:p>
            <w:pPr>
              <w:pStyle w:val="Normal"/>
              <w:spacing w:before="0" w:after="0"/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 miejsce i warunki pobytu</w:t>
            </w:r>
          </w:p>
          <w:p>
            <w:pPr>
              <w:pStyle w:val="Normal"/>
              <w:spacing w:before="0"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Wyraża niezadowolenie za pomocą prostych środków językowych</w:t>
            </w:r>
          </w:p>
          <w:p>
            <w:pPr>
              <w:pStyle w:val="Normal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Opisuje, jak spędza lub spędził wakacje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before="0"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tosuje czasowniki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i czasowniki modalne we właściwych formach czasu przeszłego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Präteritum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oraz formy czasu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Perfekt </w:t>
            </w:r>
            <w:r>
              <w:rPr>
                <w:rFonts w:ascii="Verdana" w:hAnsi="Verdana"/>
                <w:bCs/>
                <w:sz w:val="16"/>
                <w:szCs w:val="16"/>
              </w:rPr>
              <w:t>w standardowych ćwiczeniach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Nazywa ubrania osób przedstawionych na zdjęciu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Mówi, jakie ubrania chętnie nosi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Nazywa cechy charakteru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 wygląd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W schematycznych ćwiczeniach odmienia przymiotniki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Nazywa artykuły spożywcze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 artykuły spożywcze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Informuje, co i gdzie lubi jeść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Rozumie przepis na wybraną potrawę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Pisze listę zakupów w sklepie spożywczym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Pisze krótką wiadomość z prośbą o zakup artykułów spożywczych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Nazywa członków rodziny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Udziela informacji na temat cz</w:t>
            </w:r>
            <w:r>
              <w:rPr>
                <w:rFonts w:ascii="Verdana" w:hAnsi="Verdana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łonków rodziny</w:t>
            </w: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 xml:space="preserve"> i uroczystości rodzinnych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before="0" w:after="0"/>
              <w:rPr/>
            </w:pPr>
            <w:r>
              <w:rPr/>
            </w:r>
          </w:p>
        </w:tc>
        <w:tc>
          <w:tcPr>
            <w:tcW w:w="30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Uczeń: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wykazuje się umiejętnościami wyższymi od wymaganych na ocenę dostateczną, ale niższymi niż są oczekiwane na ocenę bardzo dobrą.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Uczeń: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before="0" w:after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 xml:space="preserve">Opowiada o przebiegu świąt </w:t>
              <w:br/>
              <w:t>i uroczystości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Podaje datę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before="0" w:after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Określa termin za pomocą różnych środków językowych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Składa życzenia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 xml:space="preserve">Pisze samodzielnie pocztówkę </w:t>
              <w:br/>
              <w:t>z wakacji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Opisuje szczegółowo miejsce, czas, długość pobytu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Dokonuje porównania dwóch rzeczy lub osób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before="0" w:after="0"/>
              <w:rPr/>
            </w:pPr>
            <w:r>
              <w:rPr/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Opisuje miejsca noclegowe</w:t>
            </w:r>
          </w:p>
          <w:p>
            <w:pPr>
              <w:pStyle w:val="Normal"/>
              <w:spacing w:before="0"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 warunki pobytu, w tym otoczenie, krajobraz</w:t>
            </w:r>
          </w:p>
          <w:p>
            <w:pPr>
              <w:pStyle w:val="Normal"/>
              <w:spacing w:before="0"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Wyraża niezadowolenie z pobytu</w:t>
            </w:r>
          </w:p>
          <w:p>
            <w:pPr>
              <w:pStyle w:val="Normal"/>
              <w:spacing w:before="0"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Formułuje skargę na warunki panujące w miejscu noclegu</w:t>
            </w:r>
          </w:p>
          <w:p>
            <w:pPr>
              <w:pStyle w:val="Normal"/>
              <w:spacing w:before="0"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 wrażenia z podróży lub miejsca pobytu</w:t>
            </w:r>
          </w:p>
          <w:p>
            <w:pPr>
              <w:pStyle w:val="Normal"/>
              <w:spacing w:before="0"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Relacjonuje przebieg wyjazdu wakacyjnego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W opisach stosuje czasowniki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i czasowniki modalne we właściwych formach w czasie przeszłym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Używa w wypowiedziach czasu przeszłego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>Perfekt</w:t>
            </w:r>
          </w:p>
          <w:p>
            <w:pPr>
              <w:pStyle w:val="Normal"/>
              <w:spacing w:before="0"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Pisze prosty list formalny (skargę)</w:t>
            </w:r>
          </w:p>
          <w:p>
            <w:pPr>
              <w:pStyle w:val="Normal"/>
              <w:spacing w:before="0"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 ubiór innych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Wyraża opinię na temat ubioru innych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Charakteryzuje osoby na podstawie opisu ich zachowania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 szczegółowo wygląd zewnętrzny</w:t>
            </w:r>
          </w:p>
          <w:p>
            <w:pPr>
              <w:pStyle w:val="Normal"/>
              <w:spacing w:before="0"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W wypowiedziach stosuje poprawnie końcówki odmiany przymiotnika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Opowiada o przyzwyczajeniach związanych z zakupami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Opowiada o swoim sposobie odżywiania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Podaje przepis na potrawy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Opisuje potrawy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Opisuje wizytę w lokalu gastronomicznym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Wyraża własną opinię i przekazuje opinie innych osób na temat posiłków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Stosuje w języku mówionym i pisanym stronę bierną czasowników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Opisuje swoją rodzinę i preferowany model rodziny</w:t>
            </w:r>
          </w:p>
          <w:p>
            <w:pPr>
              <w:pStyle w:val="Zawartotabeli"/>
              <w:spacing w:before="0" w:after="0"/>
              <w:rPr/>
            </w:pPr>
            <w:r>
              <w:rPr>
                <w:rFonts w:ascii="Verdana" w:hAnsi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Opowiada o zaletach i wadach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różnych okresów życia</w:t>
            </w:r>
          </w:p>
          <w:p>
            <w:pPr>
              <w:pStyle w:val="Zawartotabeli"/>
              <w:spacing w:before="0" w:after="0"/>
              <w:rPr/>
            </w:pPr>
            <w:r>
              <w:rPr>
                <w:rFonts w:ascii="Verdana" w:hAnsi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Opowiada o obchodzeniu uroczystości rodzinnych</w:t>
            </w:r>
          </w:p>
          <w:p>
            <w:pPr>
              <w:pStyle w:val="Zawartotabeli"/>
              <w:spacing w:before="0" w:after="0"/>
              <w:rPr/>
            </w:pPr>
            <w:r>
              <w:rPr>
                <w:rFonts w:ascii="Verdana" w:hAnsi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Opowiada o zaletach i wadach projektu mieszkaniowego</w:t>
            </w:r>
          </w:p>
          <w:p>
            <w:pPr>
              <w:pStyle w:val="Zawartotabeli"/>
              <w:spacing w:before="0" w:after="0"/>
              <w:rPr/>
            </w:pPr>
            <w:r>
              <w:rPr>
                <w:rFonts w:ascii="Verdana" w:hAnsi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Pisze e-mail w sprawie wynajmu mieszkania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Pisze tekst o wynajmie mieszkania</w:t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0E0E0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b/>
                <w:bCs/>
                <w:sz w:val="16"/>
                <w:szCs w:val="16"/>
                <w:lang w:eastAsia="ar-SA"/>
              </w:rPr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Uczeń: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/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Uczeń: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before="0" w:after="0"/>
              <w:rPr/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 xml:space="preserve">• </w:t>
            </w:r>
            <w:r>
              <w:rPr>
                <w:rFonts w:cs="Verdana" w:ascii="Verdana" w:hAnsi="Verdana"/>
                <w:sz w:val="16"/>
                <w:szCs w:val="16"/>
              </w:rPr>
              <w:t>Potwierdza i odwołuje termin spotkania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before="0" w:after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Udziela rad, jaki prezent wybrać – składa propozycję: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before="0" w:after="0"/>
              <w:rPr>
                <w:rFonts w:ascii="Verdana" w:hAnsi="Verdana" w:cs="Verdana"/>
                <w:i/>
                <w:i/>
                <w:sz w:val="16"/>
                <w:szCs w:val="16"/>
              </w:rPr>
            </w:pPr>
            <w:r>
              <w:rPr>
                <w:rFonts w:cs="Verdana" w:ascii="Verdana" w:hAnsi="Verdana"/>
                <w:i/>
                <w:sz w:val="16"/>
                <w:szCs w:val="16"/>
              </w:rPr>
              <w:t>Vielleicht kaufst du …</w:t>
            </w:r>
          </w:p>
          <w:p>
            <w:pPr>
              <w:pStyle w:val="Zawartotabeli"/>
              <w:widowControl w:val="false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Zaprasza na urodziny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Udziela i zasięga informacji, jakim środkiem komunikacji dotrzeć do celu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Proponuje wybór środka lokomocji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Pyta o drogę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Udziela informacji, jak dojść do celu, stosując podstawowe zwroty: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>geradeaus, rechts, links</w:t>
            </w:r>
          </w:p>
          <w:p>
            <w:pPr>
              <w:pStyle w:val="Normal"/>
              <w:spacing w:before="0" w:after="0"/>
              <w:rPr>
                <w:rFonts w:ascii="Verdana" w:hAnsi="Verdana"/>
                <w:bCs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Udziela informacji o pogodzie, stosując ogólnikowe opisy: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>es ist warm / kalt, es regnet / regnet nicht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Rezerwuje miejsce noclegowe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Melduje się w hotelu</w:t>
            </w:r>
          </w:p>
          <w:p>
            <w:pPr>
              <w:pStyle w:val="Normal"/>
              <w:spacing w:before="0"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Zasięga informacji w recepcji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Wypełnia formularz meldunkowy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Dowiaduje się o przebieg podróży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Rozmawia o ubiorze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Zasięga w sklepie odzieżowym informacji na temat ceny, dostępności rozmiaru i koloru wybranych ubrań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Prowadzi proste rozmowy w sklepie spożywczym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Prowadzi proste rozmowy na temat lokali gastronomicznych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Rozmawia o swojej rodzinie • Rozmawia o uroczystościach rodzinnych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Uczeń: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/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wykazuje się umiejętnościami wyższymi od wymaganych na ocenę dostateczną, ale niższymi niż są oczekiwane na ocenę bardzo dobrą.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Sprawnie komunikuje się (popełnia błędy, które nie zakłócają komunikacji)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w zakresie omawianych tematów, jeśli dotyczą one sytuacji typowych, podobnych do przerobionych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  <w:t>Uczeń: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 xml:space="preserve">Potwierdza, odwołuje, prosi </w:t>
              <w:br/>
              <w:t>o przesunięcie terminu spotkania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Doradza lub odradza przy wyborze prezentu, uzasadnia wybór</w:t>
            </w:r>
          </w:p>
          <w:p>
            <w:pPr>
              <w:pStyle w:val="Normal"/>
              <w:widowControl w:val="false"/>
              <w:suppressLineNumbers/>
              <w:suppressAutoHyphens w:val="false"/>
              <w:snapToGrid w:val="false"/>
              <w:spacing w:lineRule="auto" w:line="240" w:before="0" w:after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Przekazuje życzenia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Zaprasza na imprezę lub uroczystość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Udziela i zasięga rady, jakim środkiem dotrzeć do celu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Negocjuje wybór środka lokomocji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Pyta o drogę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 xml:space="preserve">Udziela informacji, jak dojść </w:t>
              <w:br/>
              <w:t>do celu, stosując różnorodne środki językowe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Pyta o pogodę i udziela informacji o pogodzie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Prowadzi rozmowy z obsługą hotelu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Udziela innym szczegółowych informacji na temat hotelu</w:t>
            </w:r>
          </w:p>
          <w:p>
            <w:pPr>
              <w:pStyle w:val="Zawartotabeli"/>
              <w:spacing w:lineRule="auto" w:line="240"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Rozmawia na temat ubioru</w:t>
            </w:r>
          </w:p>
          <w:p>
            <w:pPr>
              <w:pStyle w:val="Zawartotabeli"/>
              <w:spacing w:lineRule="auto" w:line="240"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Rozmawia na temat cech charakteru innych osób</w:t>
            </w:r>
          </w:p>
          <w:p>
            <w:pPr>
              <w:pStyle w:val="Zawartotabeli"/>
              <w:spacing w:lineRule="auto" w:line="240" w:before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Dokonuje zakupów w sklepie odzieżowym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Doradza innym przy wyborze i kupnie ubrania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Prowadzi rozmowy w sklepie spożywczym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Pyta o informacje na temat lokali gastronomicznych i je uzyskuje</w:t>
            </w:r>
          </w:p>
          <w:p>
            <w:pPr>
              <w:pStyle w:val="Zawartotabeli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Rozmawia o różnych modelach rodzin • Rozmawia na temat zwyczajów dotyczących obchodzenia uroczystości rodzinnych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4f1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rsid w:val="008c4f10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Zawartotabeli" w:customStyle="1">
    <w:name w:val="Zawartość tabeli"/>
    <w:basedOn w:val="Normal"/>
    <w:qFormat/>
    <w:rsid w:val="008c4f10"/>
    <w:pPr>
      <w:suppressLineNumbers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1441</Words>
  <Characters>8763</Characters>
  <Paragraphs>204</Paragraphs>
  <CharactersWithSpaces>10105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/>
  <dcterms:created xsi:type="dcterms:W3CDTF">2022-08-25T08:59:00Z</dcterms:created>
  <dcterms:modified xsi:type="dcterms:W3CDTF">2024-09-01T21:45:47Z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