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1" w:rsidRDefault="00335F71" w:rsidP="00335F71">
      <w:pPr>
        <w:spacing w:after="0"/>
        <w:rPr>
          <w:rFonts w:ascii="Times New Roman" w:hAnsi="Times New Roman" w:cs="Times New Roman"/>
          <w:b/>
        </w:rPr>
      </w:pPr>
      <w:r w:rsidRPr="00335F71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71" w:rsidRDefault="00335F71" w:rsidP="00335F71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105DEB">
        <w:rPr>
          <w:rFonts w:ascii="Times New Roman" w:hAnsi="Times New Roman" w:cs="Times New Roman"/>
          <w:b/>
          <w:u w:val="single"/>
        </w:rPr>
        <w:t xml:space="preserve">MATEMATYKI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335F71" w:rsidRDefault="00335F71" w:rsidP="00335F71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POSZCZEGÓLNYCH ŚRÓDROCZNYCH I ROCZNYCH OCEN KLASYFIKACYJNYCH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</w:p>
    <w:p w:rsidR="00335F71" w:rsidRDefault="00335F71" w:rsidP="00335F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Marcin </w:t>
      </w:r>
      <w:proofErr w:type="spellStart"/>
      <w:r>
        <w:rPr>
          <w:rFonts w:ascii="Times New Roman" w:hAnsi="Times New Roman" w:cs="Times New Roman"/>
          <w:b/>
        </w:rPr>
        <w:t>Kurczab</w:t>
      </w:r>
      <w:proofErr w:type="spellEnd"/>
      <w:r>
        <w:rPr>
          <w:rFonts w:ascii="Times New Roman" w:hAnsi="Times New Roman" w:cs="Times New Roman"/>
          <w:b/>
        </w:rPr>
        <w:t xml:space="preserve">, Elżbieta </w:t>
      </w:r>
      <w:proofErr w:type="spellStart"/>
      <w:r>
        <w:rPr>
          <w:rFonts w:ascii="Times New Roman" w:hAnsi="Times New Roman" w:cs="Times New Roman"/>
          <w:b/>
        </w:rPr>
        <w:t>Kurczab</w:t>
      </w:r>
      <w:proofErr w:type="spellEnd"/>
      <w:r>
        <w:rPr>
          <w:rFonts w:ascii="Times New Roman" w:hAnsi="Times New Roman" w:cs="Times New Roman"/>
          <w:b/>
        </w:rPr>
        <w:t xml:space="preserve">, Elżbieta </w:t>
      </w:r>
      <w:proofErr w:type="spellStart"/>
      <w:r>
        <w:rPr>
          <w:rFonts w:ascii="Times New Roman" w:hAnsi="Times New Roman" w:cs="Times New Roman"/>
          <w:b/>
        </w:rPr>
        <w:t>Świda</w:t>
      </w:r>
      <w:proofErr w:type="spellEnd"/>
      <w:r>
        <w:rPr>
          <w:rFonts w:ascii="Times New Roman" w:hAnsi="Times New Roman" w:cs="Times New Roman"/>
          <w:b/>
        </w:rPr>
        <w:t>, Tomasz Szwed/</w:t>
      </w:r>
    </w:p>
    <w:p w:rsidR="00335F71" w:rsidRDefault="00335F71" w:rsidP="00335F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335F71" w:rsidRDefault="00335F71" w:rsidP="00335F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Wydawnictwo Oficyna Edukacyjna Krzysztof Pazdro </w:t>
      </w:r>
      <w:r w:rsidRPr="004F0FD7">
        <w:rPr>
          <w:rFonts w:ascii="Times New Roman" w:hAnsi="Times New Roman" w:cs="Times New Roman"/>
          <w:b/>
        </w:rPr>
        <w:t>(LICEUM 4-LETNIE)</w:t>
      </w:r>
    </w:p>
    <w:p w:rsidR="00450116" w:rsidRDefault="00450116"/>
    <w:p w:rsidR="00335F71" w:rsidRDefault="00335F71" w:rsidP="00335F71">
      <w:pPr>
        <w:pStyle w:val="Default"/>
        <w:jc w:val="center"/>
        <w:rPr>
          <w:b/>
          <w:bCs/>
          <w:color w:val="auto"/>
          <w:szCs w:val="28"/>
        </w:rPr>
      </w:pPr>
    </w:p>
    <w:p w:rsidR="00335F71" w:rsidRDefault="00335F71" w:rsidP="00335F71">
      <w:pPr>
        <w:pStyle w:val="Default"/>
        <w:jc w:val="center"/>
        <w:rPr>
          <w:b/>
          <w:bCs/>
          <w:color w:val="auto"/>
          <w:szCs w:val="28"/>
        </w:rPr>
      </w:pPr>
      <w:r w:rsidRPr="007C1DA4">
        <w:rPr>
          <w:b/>
          <w:bCs/>
          <w:color w:val="auto"/>
          <w:szCs w:val="28"/>
        </w:rPr>
        <w:t xml:space="preserve">ZAKRES </w:t>
      </w:r>
      <w:r>
        <w:rPr>
          <w:b/>
          <w:bCs/>
          <w:color w:val="auto"/>
          <w:szCs w:val="28"/>
        </w:rPr>
        <w:t>ROZSZERZONY</w:t>
      </w:r>
    </w:p>
    <w:p w:rsidR="00335F71" w:rsidRDefault="00335F71" w:rsidP="00335F71">
      <w:pPr>
        <w:pStyle w:val="Default"/>
        <w:jc w:val="center"/>
        <w:rPr>
          <w:b/>
          <w:bCs/>
          <w:color w:val="auto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3"/>
        <w:gridCol w:w="1866"/>
        <w:gridCol w:w="1866"/>
        <w:gridCol w:w="1827"/>
        <w:gridCol w:w="1866"/>
      </w:tblGrid>
      <w:tr w:rsidR="00335F71" w:rsidRPr="004F0FD7" w:rsidTr="007512F7">
        <w:tc>
          <w:tcPr>
            <w:tcW w:w="14144" w:type="dxa"/>
            <w:gridSpan w:val="5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</w:t>
            </w:r>
            <w:r w:rsidR="00A30AD9">
              <w:rPr>
                <w:rFonts w:ascii="Times New Roman" w:hAnsi="Times New Roman" w:cs="Times New Roman"/>
                <w:b/>
                <w:sz w:val="24"/>
                <w:szCs w:val="24"/>
              </w:rPr>
              <w:t>dla klas 4Bp, 4Cp, 4Dp, 4Gp, 4Hp</w:t>
            </w:r>
            <w:bookmarkStart w:id="0" w:name="_GoBack"/>
            <w:bookmarkEnd w:id="0"/>
          </w:p>
        </w:tc>
      </w:tr>
      <w:tr w:rsidR="00335F71" w:rsidRPr="004F0FD7" w:rsidTr="007512F7">
        <w:tc>
          <w:tcPr>
            <w:tcW w:w="14144" w:type="dxa"/>
            <w:gridSpan w:val="5"/>
          </w:tcPr>
          <w:p w:rsidR="00335F71" w:rsidRPr="00630143" w:rsidRDefault="00335F71" w:rsidP="007512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:rsidR="00335F71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335F71" w:rsidRPr="004F0FD7" w:rsidTr="007512F7">
        <w:tc>
          <w:tcPr>
            <w:tcW w:w="14144" w:type="dxa"/>
            <w:gridSpan w:val="5"/>
          </w:tcPr>
          <w:p w:rsidR="00335F71" w:rsidRDefault="00335F71" w:rsidP="007512F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35F71" w:rsidRPr="004F0FD7" w:rsidTr="007512F7">
        <w:tc>
          <w:tcPr>
            <w:tcW w:w="2828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71" w:rsidRPr="00341CF9" w:rsidRDefault="00335F71" w:rsidP="00335F71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2B3B5515">
              <w:rPr>
                <w:b/>
                <w:bCs/>
                <w:color w:val="002060"/>
                <w:sz w:val="28"/>
                <w:szCs w:val="28"/>
              </w:rPr>
              <w:t xml:space="preserve">FUNKCJA </w:t>
            </w:r>
            <w:r>
              <w:tab/>
            </w:r>
            <w:r w:rsidRPr="2B3B5515">
              <w:rPr>
                <w:b/>
                <w:bCs/>
                <w:color w:val="002060"/>
                <w:sz w:val="28"/>
                <w:szCs w:val="28"/>
              </w:rPr>
              <w:t>WYKŁADNICZA</w:t>
            </w: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 o podwyższonym stopniu trudności;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pojęcie pierwiastka </w:t>
            </w: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arytmetycznego z liczby nieujemnej i potrafi stosować prawa działań na pierwiastkach w obliczeniach;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 xml:space="preserve">potrafi porównywać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potęgi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lastRenderedPageBreak/>
              <w:t xml:space="preserve">sprawnie wykonywać </w:t>
            </w: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lastRenderedPageBreak/>
              <w:t>działania na potęgach o wykładniku rzeczywistym;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potrafi obliczać pierwiastki stopnia nieparzystego z liczb ujemnych;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wykładniczych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2829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wykładniczej w różnych zadaniach (np., dotyczących ciągów, trygonometrii, itp.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wykładniczych 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zadania na dowodzenie  (o średnim stopniu trudności), w których wykorzystuje wiadomości dotyczące funkcji wykładniczej oraz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potęg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potrafi rozwiązywać zadania stosując własności funkcji wykładniczych 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potrafi szkicować wykresy funkcji wykładniczych dla różnych podstaw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rozwiązać równania oraz nierówności wykładnicze korzystając z wykresów odpowiednich funkcji wykładniczych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wykładnicze z parametrem;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B93C2A" w:rsidRDefault="00335F71" w:rsidP="007512F7">
            <w:pPr>
              <w:spacing w:before="60" w:after="60"/>
              <w:rPr>
                <w:rFonts w:ascii="Calibri" w:hAnsi="Calibri" w:cs="Calibri"/>
                <w:color w:val="943634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równania i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różnowartościowości oraz monotoniczności funkcji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wykładniczą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stosując przesunięcie równoległe o wektor albo symetrie względem osi układu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obliczać pierwiastki stopnia nieparzystego z liczb ujemnych;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2829" w:type="dxa"/>
            <w:vAlign w:val="center"/>
          </w:tcPr>
          <w:p w:rsidR="00335F71" w:rsidRPr="00E8282A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842B3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FUNKCJA LOGARYTMICZNA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potrafi podać założenia i zapisać w prostszej postaci wyrażenia 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zawierające logarytmy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stosuje do obliczeń logarytmu równości wynikające z definicji logarytmu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stosować twierdzenia o logarytmie iloczynu, ilorazu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i potęgi do udowadniania równości wyrażeń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potrafi udowodnić twierdzenia o logarytmach, twierdzenie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o zamianie podstaw logarytmów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potrafi udowodnić niewymierność logarytmu (np. log</w:t>
            </w:r>
            <w:r w:rsidRPr="005F4B6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zna definicję funkcji logarytmicznej;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graficznie rozwiązywać równania, nierówności układy równań z zastosowaniem wykresów funkcji logarytmicznych;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własności funkcji logarytmicznej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do rozwiązywania zadań z parametrem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stosować twierdzenie o zmianie podstaw logarytmów do obliczania wartości wyrażeń oraz przekształcania wyrażeń z logarytmami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własności funkcji logarytmicznej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do rozwiązywania zadań różnego typu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logarytmiczną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  <w:tc>
          <w:tcPr>
            <w:tcW w:w="2829" w:type="dxa"/>
            <w:vAlign w:val="center"/>
          </w:tcPr>
          <w:p w:rsidR="00335F71" w:rsidRPr="009B42D8" w:rsidRDefault="00335F71" w:rsidP="007512F7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prowadzić dowody opierające się o twierdzenie o zmianie podstaw logarytmów</w:t>
            </w:r>
          </w:p>
        </w:tc>
        <w:tc>
          <w:tcPr>
            <w:tcW w:w="2829" w:type="dxa"/>
            <w:vAlign w:val="center"/>
          </w:tcPr>
          <w:p w:rsidR="00335F71" w:rsidRPr="009B42D8" w:rsidRDefault="00335F71" w:rsidP="007512F7">
            <w:pPr>
              <w:spacing w:before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podaje odpowiednie założenia dla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podstawy oraz liczby logarytmowanej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interpretować graficznie równania logarytmiczne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parametrem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logarytmicznej w różnych zadaniach (np., dotyczących ciągów, trygonometrii, itp.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, S(0,0), przesunięcie równoległe o dany 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wektor);</w:t>
            </w: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potrafi wyznaczyć wzór funkcji logarytmicznej gdy dany jest punkt należący do wykresu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logarytmicznych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1357F5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zbiór wartości funkcji logarytmicznej o określonej dziedzinie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1357F5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z parametrem;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1357F5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0D48D7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1357F5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spacing w:after="12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naszkicować zbiór punktów płaszczyzny spełniających dane równanie lub nierówność z dwiema niewiadomymi,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których występują logarytmy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1357F5" w:rsidRDefault="00335F71" w:rsidP="007512F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ELELMENTY STATYSTYKI</w:t>
            </w: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lastRenderedPageBreak/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dane statystyczne odczytane z tabel, diagramów i wykresów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stosować wiadomości ze statystyki w różnych nietypowych zadaniach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zadaniach</w:t>
            </w:r>
            <w:proofErr w:type="spellEnd"/>
          </w:p>
        </w:tc>
        <w:tc>
          <w:tcPr>
            <w:tcW w:w="2829" w:type="dxa"/>
            <w:vAlign w:val="center"/>
          </w:tcPr>
          <w:p w:rsidR="00335F71" w:rsidRPr="009B42D8" w:rsidRDefault="00335F71" w:rsidP="007512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średnią arytmetyczną danych przedstawionych w niestandardowy sposób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 zadaniach o podwyższonym stopniu trudności pojęcia statystyczne</w:t>
            </w:r>
          </w:p>
        </w:tc>
        <w:tc>
          <w:tcPr>
            <w:tcW w:w="2829" w:type="dxa"/>
            <w:vAlign w:val="center"/>
          </w:tcPr>
          <w:p w:rsidR="00335F71" w:rsidRPr="009B42D8" w:rsidRDefault="00335F71" w:rsidP="007512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rozumie pojęcie średniej arytmetycznej, średniej ważonej, wariancji i odchylenia standardowego, 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odchylenie standardowe i wariancję danych przedstawionych w niestandardowy sposób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  <w:t xml:space="preserve"> i wykresów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dane statystyczne, ze szczególnym uwzględnieniem miar rozrzutu oraz skali centylowej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potrafi obliczyć wariancję i 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odchylenie standardowe zestawu danych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 xml:space="preserve">potrafi obliczyć wariancję i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odchylenie standardowe zestawu danych przedstawionych różnymi sposobami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potrafi obliczyć średnią ważoną zestawu liczb z podanymi wagami</w:t>
            </w:r>
          </w:p>
        </w:tc>
        <w:tc>
          <w:tcPr>
            <w:tcW w:w="2829" w:type="dxa"/>
            <w:vAlign w:val="center"/>
          </w:tcPr>
          <w:p w:rsidR="00335F71" w:rsidRPr="0099024F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RACHUNEK PRAWDOPODOBIEŃSTWA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obliczyć prawdopodobieństwo zdarzenia przeciwnego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zna określenie prawdopodobieństwa warunkowego i umie rozwiązywać proste zadania dotyczące takiego prawdopodobieństwa;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 udowodnić, że prawdopodobieństwo warunkowe spełnia warunki  aksjomatycznej definicji prawdopodobieństwa;</w:t>
            </w:r>
          </w:p>
        </w:tc>
      </w:tr>
      <w:tr w:rsidR="00335F71" w:rsidRPr="004F0FD7" w:rsidTr="007512F7">
        <w:trPr>
          <w:trHeight w:val="1550"/>
        </w:trPr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definicję prawdopodobieństwa warunkowego 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wzór do Bayesa do obliczania prawdopodobieństwa przyczyny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potrafi  udowodnić wzór na prawdopodobieństwo całkowite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pary zdarzeń przeciwnych i wykluczających się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wykorzystuje regułę mnożenia, dodawania, permutacje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 xml:space="preserve">i kombinacje do obliczania prawdopodobieństwa zdarzeń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w prostych zadaniach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prawdopodobieństwa o średnim stopniu trudności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prawdopodobieństwo w doświadczeniach wieloetapowych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wzór Bayesa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wzór na prawdopodobieństwo całkowite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zastosować prawdopodobieństwo całkowite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rozwiązaniu prostych zadań;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obliczać prawdopodobieństwo całkowite zdarzeń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wykorzystuje wzór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do obliczania prawdopodobieństwa co najmniej k sukcesów w n próbach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sprawdzić, czy są spełnione założenia twierdzenia o prawdopodobieństwie całkowitym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wzór Bayesa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wzór Bayesa;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zadania z rachunku prawdopodobieństwa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o podwyższonym stopniu trudności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wie, jakie zdarzenia nazywamy niezależnymi; 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potrafi zbadać, posługując się definicją, czy dwa zdarzenia są niezależne;</w:t>
            </w: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 xml:space="preserve">potrafi rozwiązywać zadania w których występują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zdarzenia niezależne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 xml:space="preserve">wie i rozumie na czym polega niezależność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n zdarzeń (n≥2).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prowadzi dowody wykorzystujące własności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prawdopodobieństwa i poznane wzory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Wykorzystuje regułę mnożenia, dodawania, permutacje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i kombinacje do obliczania prawdopodobieństwa zdarzeń w zadaniach o średnim stopniu trudności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8516A6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zna wzór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i oblicza prawdopodobieństwo sukcesu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 xml:space="preserve">i porażki w pojedynczej próbie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wzór na prawdopodobieństwo warunkowe do wyznaczania prawdopodobieństwa sumy, iloczynu i różnicy zdarzeń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wzór </w:t>
            </w:r>
            <w:proofErr w:type="spellStart"/>
            <w:r>
              <w:rPr>
                <w:rFonts w:ascii="Calibri" w:hAnsi="Calibri" w:cs="Calibri"/>
                <w:color w:val="C65911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do obliczania prawdopodobieństwa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sukcesów w </w:t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próbach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rPr>
          <w:gridAfter w:val="4"/>
          <w:wAfter w:w="11316" w:type="dxa"/>
        </w:trPr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rPr>
          <w:gridAfter w:val="4"/>
          <w:wAfter w:w="11316" w:type="dxa"/>
        </w:trPr>
        <w:tc>
          <w:tcPr>
            <w:tcW w:w="2828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Pr="0051162B" w:rsidRDefault="00335F71" w:rsidP="007512F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V. GEOMETRIA PRZESTRZENNA. WIELOŚCIANY</w:t>
            </w:r>
          </w:p>
          <w:p w:rsidR="00335F71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graniastosłupa oraz ostrosłupa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potrafi określić położenie prostej i płaszczyzny 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w przestrzeni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z wykorzystaniem wcześniej poznanych twierdzeń z planimetrii oraz trygonometrii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 xml:space="preserve">stosuje twierdzenie o trzech prostych prostopadłych do uzasadniania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prostopadłości prostych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rozwiązuje zadania o podwyższonym stopniu trudności z wykorzystaniem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wzorów na objętość i pole powierzchni graniastosłupa prostego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potrafi określić położenie dwóch prostych w przestrzeni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  <w:tc>
          <w:tcPr>
            <w:tcW w:w="2829" w:type="dxa"/>
            <w:vAlign w:val="center"/>
          </w:tcPr>
          <w:p w:rsidR="00335F71" w:rsidRPr="00AD083C" w:rsidRDefault="00335F71" w:rsidP="007512F7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rysuje figury płaskie w rzucie równoległym na płaszczyznę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 kąta między prostą a płaszczyzną, również z wykorzystaniem trygonometrii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prostej i płaszczyzny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dotyczące przekrojów wielościanów z wykorzystaniem poznanych twierdzeń z planimetrii oraz trygonometrii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objętości graniastosłupów oraz ostrosłupów z wykorzystaniem wcześniej poznanych twierdzeń z planimetrii oraz trygonometrii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wiadomości z analizy matematycznej w rozwiązaniach zadań ze stereometrii, w zakresie wielościanów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potrafi stosować twierdzenie o trzech prostych prostopadłych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(graniastosłupa, ostrosłupa)</w:t>
            </w: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zadania o podwyższonym stopniu trudności z wykorzystaniem wzorów na objętość i pole powierzchni graniastosłupa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prostego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rozumie pojęcie kąta między prostą a płaszczyzną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prostych zadań;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graniastosłupa prostego, mając dany jej fragment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potrafi rozpoznać w graniastosłupach i ostrosłupach kąty między odcinkami 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(np. krawędziami, krawędziami i przekątnymi itp.) oraz obliczyć miary tych kątów;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955350" w:rsidRDefault="00335F71" w:rsidP="007512F7">
            <w:pPr>
              <w:spacing w:before="60" w:after="60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A93E20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14144" w:type="dxa"/>
            <w:gridSpan w:val="5"/>
            <w:vAlign w:val="center"/>
          </w:tcPr>
          <w:p w:rsidR="00335F71" w:rsidRPr="0051162B" w:rsidRDefault="00335F71" w:rsidP="007512F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>
              <w:rPr>
                <w:b/>
                <w:bCs/>
                <w:color w:val="002060"/>
                <w:sz w:val="28"/>
                <w:szCs w:val="28"/>
              </w:rPr>
              <w:t>GEOMETRIA PRZESTRZENNA. BRYŁY OBROTOWE</w:t>
            </w:r>
          </w:p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określa, jaką figurą jest dany przekrój sfery płaszczyzną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rozwiązuje zadania dotyczące rozwinięcia powierzchni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bocznej walca oraz powierzchni bocznej stożka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lastRenderedPageBreak/>
              <w:t xml:space="preserve">potrafi obliczyć pole powierzchni przekroju bryły daną płaszczyzną  </w:t>
            </w: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lastRenderedPageBreak/>
              <w:t>(walca, stożka, kuli);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rozwiązuje zadania o podwyższonym stopniu trudności dotyczące brył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obrotowych (stożka, kuli, walca)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wyprowadza wzory na objętość i pole powierzchni nietypowych brył,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np. stożka ściętego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zna określenie stożka; umie wskazać: podstawę, powierzchnię boczną, tworzącą, wysokość, oś obrotu stożka;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geometrii przestrzennej stosując analizę matematyczną</w:t>
            </w:r>
          </w:p>
        </w:tc>
        <w:tc>
          <w:tcPr>
            <w:tcW w:w="2829" w:type="dxa"/>
            <w:vAlign w:val="center"/>
          </w:tcPr>
          <w:p w:rsidR="00335F71" w:rsidRDefault="00335F71" w:rsidP="007512F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nietypowe z geometrii przestrzennej stosując analizę matematyczną</w:t>
            </w: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</w:t>
            </w: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spacing w:before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335F71" w:rsidRPr="00C66888" w:rsidRDefault="00335F71" w:rsidP="007512F7">
            <w:pPr>
              <w:spacing w:before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2829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objętości bryły</w:t>
            </w: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71" w:rsidRPr="004F0FD7" w:rsidTr="007512F7">
        <w:tc>
          <w:tcPr>
            <w:tcW w:w="2828" w:type="dxa"/>
            <w:vAlign w:val="center"/>
          </w:tcPr>
          <w:p w:rsidR="00335F71" w:rsidRPr="0048525D" w:rsidRDefault="00335F71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brył obrotowych (stożka, kuli, walca)</w:t>
            </w: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335F71" w:rsidRPr="00BE4391" w:rsidRDefault="00335F71" w:rsidP="007512F7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335F71" w:rsidRPr="004F0FD7" w:rsidRDefault="00335F71" w:rsidP="007512F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F71" w:rsidRPr="004F0FD7" w:rsidRDefault="00335F71" w:rsidP="00335F71">
      <w:pPr>
        <w:pStyle w:val="Default"/>
        <w:rPr>
          <w:color w:val="auto"/>
        </w:rPr>
      </w:pPr>
    </w:p>
    <w:p w:rsidR="00335F71" w:rsidRDefault="00335F71">
      <w:r>
        <w:t>Opracowała Marta Kubiak</w:t>
      </w:r>
    </w:p>
    <w:sectPr w:rsidR="00335F71" w:rsidSect="0045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300A"/>
    <w:multiLevelType w:val="hybridMultilevel"/>
    <w:tmpl w:val="87A67292"/>
    <w:lvl w:ilvl="0" w:tplc="B87AD348">
      <w:start w:val="1"/>
      <w:numFmt w:val="upperRoman"/>
      <w:lvlText w:val="%1."/>
      <w:lvlJc w:val="left"/>
      <w:pPr>
        <w:ind w:left="720" w:hanging="360"/>
      </w:pPr>
    </w:lvl>
    <w:lvl w:ilvl="1" w:tplc="0D3AE05E">
      <w:start w:val="1"/>
      <w:numFmt w:val="lowerLetter"/>
      <w:lvlText w:val="%2."/>
      <w:lvlJc w:val="left"/>
      <w:pPr>
        <w:ind w:left="1440" w:hanging="360"/>
      </w:pPr>
    </w:lvl>
    <w:lvl w:ilvl="2" w:tplc="F7424BC0">
      <w:start w:val="1"/>
      <w:numFmt w:val="lowerRoman"/>
      <w:lvlText w:val="%3."/>
      <w:lvlJc w:val="right"/>
      <w:pPr>
        <w:ind w:left="2160" w:hanging="180"/>
      </w:pPr>
    </w:lvl>
    <w:lvl w:ilvl="3" w:tplc="80DAA7D6">
      <w:start w:val="1"/>
      <w:numFmt w:val="decimal"/>
      <w:lvlText w:val="%4."/>
      <w:lvlJc w:val="left"/>
      <w:pPr>
        <w:ind w:left="2880" w:hanging="360"/>
      </w:pPr>
    </w:lvl>
    <w:lvl w:ilvl="4" w:tplc="5B043574">
      <w:start w:val="1"/>
      <w:numFmt w:val="lowerLetter"/>
      <w:lvlText w:val="%5."/>
      <w:lvlJc w:val="left"/>
      <w:pPr>
        <w:ind w:left="3600" w:hanging="360"/>
      </w:pPr>
    </w:lvl>
    <w:lvl w:ilvl="5" w:tplc="EB60717E">
      <w:start w:val="1"/>
      <w:numFmt w:val="lowerRoman"/>
      <w:lvlText w:val="%6."/>
      <w:lvlJc w:val="right"/>
      <w:pPr>
        <w:ind w:left="4320" w:hanging="180"/>
      </w:pPr>
    </w:lvl>
    <w:lvl w:ilvl="6" w:tplc="5274A204">
      <w:start w:val="1"/>
      <w:numFmt w:val="decimal"/>
      <w:lvlText w:val="%7."/>
      <w:lvlJc w:val="left"/>
      <w:pPr>
        <w:ind w:left="5040" w:hanging="360"/>
      </w:pPr>
    </w:lvl>
    <w:lvl w:ilvl="7" w:tplc="07440B1E">
      <w:start w:val="1"/>
      <w:numFmt w:val="lowerLetter"/>
      <w:lvlText w:val="%8."/>
      <w:lvlJc w:val="left"/>
      <w:pPr>
        <w:ind w:left="5760" w:hanging="360"/>
      </w:pPr>
    </w:lvl>
    <w:lvl w:ilvl="8" w:tplc="FF24B6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F71"/>
    <w:rsid w:val="00335F71"/>
    <w:rsid w:val="00450116"/>
    <w:rsid w:val="00A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F71"/>
    <w:pPr>
      <w:ind w:left="720"/>
      <w:contextualSpacing/>
    </w:pPr>
  </w:style>
  <w:style w:type="table" w:styleId="Tabela-Siatka">
    <w:name w:val="Table Grid"/>
    <w:basedOn w:val="Standardowy"/>
    <w:uiPriority w:val="59"/>
    <w:rsid w:val="0033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2962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Elżbieta Kurowska</cp:lastModifiedBy>
  <cp:revision>2</cp:revision>
  <dcterms:created xsi:type="dcterms:W3CDTF">2022-09-07T22:05:00Z</dcterms:created>
  <dcterms:modified xsi:type="dcterms:W3CDTF">2022-09-08T14:57:00Z</dcterms:modified>
</cp:coreProperties>
</file>